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установить, в каком состоянии объект на самом деле: направлено ли извещение об окончании строительства, проведена ли итоговая проверка, выдано ли ЗОС или отказ с замечаниями, действует ли разрешение на строительство. Устные «на днях сдаём» ответом не являются; письменный ответ — документ на случай спора об оплате, а молчание в назначенный срок — само по себе ответ о состоянии дел.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адресата ответить: обязанности отвечать на такой запрос закон не устанавливает.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собственную проверку по открытым источникам (проектная декларация в ЕИСЖС, разрешение на строительство, картотека арбитража, Федресурс) — она делается независимо от ответа, по шагу 3 «Алгоритма: проверка расчёта метрами до входа».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запускает досудебный порядок и не прерывает никаких сроков.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