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Состав комплекта и рабочие результаты</w:t>
      </w:r>
    </w:p>
    <w:p>
      <w:pPr>
        <w:spacing w:after="100"/>
      </w:pPr>
      <w:r>
        <w:rPr>
          <w:b w:val="0"/>
          <w:i w:val="0"/>
          <w:sz w:val="20"/>
        </w:rPr>
        <w:t>Система помогает убрать ошибки до передачи КС-2 и КС-3, зафиксировать замечания и подтвердить передачу документов. Для подрядчика это управляемый путь к рассмотрению выполненных работ и сохранению срока получения денег.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2494"/>
        <w:gridCol w:w="6690"/>
      </w:tblGrid>
      <w:tr>
        <w:trPr>
          <w:cantSplit/>
          <w:tblHeader/>
        </w:trPr>
        <w:tc>
          <w:tcPr>
            <w:tcW w:type="dxa" w:w="680"/>
            <w:vAlign w:val="center"/>
            <w:shd w:fill="292C3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tcW w:type="dxa" w:w="2494"/>
            <w:vAlign w:val="center"/>
            <w:shd w:fill="292C3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Инструмент</w:t>
            </w:r>
          </w:p>
        </w:tc>
        <w:tc>
          <w:tcPr>
            <w:tcW w:type="dxa" w:w="6690"/>
            <w:vAlign w:val="center"/>
            <w:shd w:fill="292C3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Проверяемый результат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01</w:t>
            </w:r>
          </w:p>
        </w:tc>
        <w:tc>
          <w:tcPr>
            <w:tcW w:type="dxa" w:w="249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Проверочный лист</w:t>
            </w:r>
          </w:p>
        </w:tc>
        <w:tc>
          <w:tcPr>
            <w:tcW w:type="dxa" w:w="669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40 контрольных пунктов: договор, КС-2, КС-3, приложения и передача.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02</w:t>
            </w:r>
          </w:p>
        </w:tc>
        <w:tc>
          <w:tcPr>
            <w:tcW w:type="dxa" w:w="2494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Реестр приложений</w:t>
            </w:r>
          </w:p>
        </w:tc>
        <w:tc>
          <w:tcPr>
            <w:tcW w:type="dxa" w:w="6690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Проверка заполненности реквизитов и дат; неполная строка не получает «ГОТОВО».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03</w:t>
            </w:r>
          </w:p>
        </w:tc>
        <w:tc>
          <w:tcPr>
            <w:tcW w:type="dxa" w:w="249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АОСР</w:t>
            </w:r>
          </w:p>
        </w:tc>
        <w:tc>
          <w:tcPr>
            <w:tcW w:type="dxa" w:w="669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Пять заполняемых форм для применимых скрытых работ. Выбирайте по виду работ и проектным основаниям.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04</w:t>
            </w:r>
          </w:p>
        </w:tc>
        <w:tc>
          <w:tcPr>
            <w:tcW w:type="dxa" w:w="2494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Протокол проверки</w:t>
            </w:r>
          </w:p>
        </w:tc>
        <w:tc>
          <w:tcPr>
            <w:tcW w:type="dxa" w:w="6690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Замечание → ответственный и срок → повторная проверка → решение по комплекту.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05</w:t>
            </w:r>
          </w:p>
        </w:tc>
        <w:tc>
          <w:tcPr>
            <w:tcW w:type="dxa" w:w="249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Ответ заказчику</w:t>
            </w:r>
          </w:p>
        </w:tc>
        <w:tc>
          <w:tcPr>
            <w:tcW w:type="dxa" w:w="669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Позиция по каждому замечанию, основание, исправление и состав повторной передачи.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06</w:t>
            </w:r>
          </w:p>
        </w:tc>
        <w:tc>
          <w:tcPr>
            <w:tcW w:type="dxa" w:w="2494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Журнал передачи</w:t>
            </w:r>
          </w:p>
        </w:tc>
        <w:tc>
          <w:tcPr>
            <w:tcW w:type="dxa" w:w="6690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Отправка и подтверждение получения, срок ответа, возврат и повторная передача.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07</w:t>
            </w:r>
          </w:p>
        </w:tc>
        <w:tc>
          <w:tcPr>
            <w:tcW w:type="dxa" w:w="249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Хранение</w:t>
            </w:r>
          </w:p>
        </w:tc>
        <w:tc>
          <w:tcPr>
            <w:tcW w:type="dxa" w:w="669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Основания хранения и квалификация учётных экземпляров, ИД и связанных документов перед передачей или списанием.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08</w:t>
            </w:r>
          </w:p>
        </w:tc>
        <w:tc>
          <w:tcPr>
            <w:tcW w:type="dxa" w:w="2494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Алгоритм</w:t>
            </w:r>
          </w:p>
        </w:tc>
        <w:tc>
          <w:tcPr>
            <w:tcW w:type="dxa" w:w="6690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Последовательность работы с конкретными файлами и контроль результата.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09</w:t>
            </w:r>
          </w:p>
        </w:tc>
        <w:tc>
          <w:tcPr>
            <w:tcW w:type="dxa" w:w="249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Ошибки</w:t>
            </w:r>
          </w:p>
        </w:tc>
        <w:tc>
          <w:tcPr>
            <w:tcW w:type="dxa" w:w="669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15 адресных ситуаций с порядком исправления и ссылкой на документ комплекта.</w:t>
            </w:r>
          </w:p>
        </w:tc>
      </w:tr>
    </w:tbl>
    <w:p>
      <w:pPr>
        <w:spacing w:after="100"/>
      </w:pPr>
      <w:r>
        <w:rPr>
          <w:b w:val="0"/>
          <w:i w:val="0"/>
          <w:sz w:val="18"/>
        </w:rPr>
        <w:t>Передача документов не равна приёмке работ или поступлению оплаты. Фиксируйте эти события отдельно. Доказательства и сроки по договору сохраняйте вместе с рабочим делом объекта.</w:t>
      </w:r>
    </w:p>
    <w:p>
      <w:pPr>
        <w:spacing w:after="100"/>
      </w:pPr>
      <w:r>
        <w:rPr>
          <w:b w:val="0"/>
          <w:i w:val="0"/>
          <w:sz w:val="18"/>
        </w:rPr>
        <w:t>Состав: 7 DOCX, 2 XLSX, 1 PDF и инструкция TXT — 11 покупательских файлов. КС-2 и КС-3 для проверки берутся из фактических документов объекта. Служебный MANIFEST в покупательский архив не входит.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07" w:left="1020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i w:val="0"/>
        <w:sz w:val="16"/>
      </w:rPr>
      <w:t xml:space="preserve">КС-2 / КС-3 • Навигация по документам    |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9" w:color="AC9568" w:space="4"/>
      </w:pBdr>
    </w:pPr>
    <w:r>
      <w:rPr>
        <w:b/>
        <w:i w:val="0"/>
        <w:sz w:val="16"/>
      </w:rPr>
      <w:t>МАРЖА В БЕТОНЕ  /  P3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4" w:lineRule="auto" w:after="100"/>
    </w:pPr>
    <w:rPr>
      <w:rFonts w:ascii="Arial" w:hAnsi="Arial"/>
      <w:i w:val="0"/>
      <w:color w:val="292C3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i w:val="0"/>
      <w:color w:val="292C3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  <w:i w:val="0"/>
      <w:color w:val="292C3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i w:val="0"/>
      <w:color w:val="292C3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  <w:i w:val="0"/>
      <w:color w:val="292C3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/>
      <w:outlineLvl w:val="0"/>
    </w:pPr>
    <w:rPr>
      <w:rFonts w:asciiTheme="majorHAnsi" w:eastAsiaTheme="majorEastAsia" w:hAnsiTheme="majorHAnsi" w:cstheme="majorBidi" w:ascii="Arial" w:hAnsi="Arial"/>
      <w:b/>
      <w:bCs/>
      <w:i w:val="0"/>
      <w:color w:val="292C3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292C3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i w:val="0"/>
      <w:color w:val="292C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 w:val="0"/>
      <w:iCs w:val="0"/>
      <w:color w:val="292C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i w:val="0"/>
      <w:color w:val="292C3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 w:val="0"/>
      <w:iCs w:val="0"/>
      <w:color w:val="292C3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 w:val="0"/>
      <w:iCs w:val="0"/>
      <w:color w:val="292C3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i w:val="0"/>
      <w:color w:val="292C3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 w:val="0"/>
      <w:iCs w:val="0"/>
      <w:color w:val="292C3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/>
      <w:i w:val="0"/>
      <w:color w:val="292C3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i w:val="0"/>
      <w:color w:val="292C3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/>
      <w:b/>
      <w:bCs/>
      <w:i w:val="0"/>
      <w:color w:val="292C3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/>
      <w:b/>
      <w:bCs/>
      <w:i w:val="0"/>
      <w:color w:val="292C3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/>
      <w:b/>
      <w:bCs/>
      <w:i w:val="0"/>
      <w:color w:val="292C3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40"/>
      <w:contextualSpacing/>
    </w:pPr>
    <w:rPr>
      <w:rFonts w:asciiTheme="majorHAnsi" w:eastAsiaTheme="majorEastAsia" w:hAnsiTheme="majorHAnsi" w:cstheme="majorBidi" w:ascii="Arial" w:hAnsi="Arial"/>
      <w:b/>
      <w:i w:val="0"/>
      <w:color w:val="292C3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/>
      <w:i w:val="0"/>
      <w:color w:val="292C3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 w:val="0"/>
      <w:iCs w:val="0"/>
      <w:color w:val="292C3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/>
      <w:i w:val="0"/>
      <w:iCs w:val="0"/>
      <w:color w:val="292C3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i w:val="0"/>
      <w:color w:val="292C3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i w:val="0"/>
      <w:color w:val="292C3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  <w:i w:val="0"/>
      <w:color w:val="292C3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i w:val="0"/>
      <w:color w:val="292C3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  <w:i w:val="0"/>
      <w:color w:val="292C3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i w:val="0"/>
      <w:color w:val="292C3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i w:val="0"/>
      <w:color w:val="292C3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i w:val="0"/>
      <w:color w:val="292C3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i w:val="0"/>
      <w:color w:val="292C3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i w:val="0"/>
      <w:color w:val="292C3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i w:val="0"/>
      <w:color w:val="292C3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i w:val="0"/>
      <w:color w:val="292C3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i w:val="0"/>
      <w:color w:val="292C3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i w:val="0"/>
      <w:color w:val="292C3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i w:val="0"/>
      <w:color w:val="292C3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i w:val="0"/>
      <w:color w:val="292C3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i w:val="0"/>
      <w:color w:val="292C3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i w:val="0"/>
      <w:color w:val="292C3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i w:val="0"/>
      <w:color w:val="292C3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i w:val="0"/>
      <w:color w:val="292C3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i w:val="0"/>
      <w:color w:val="292C3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 w:val="0"/>
      <w:iCs w:val="0"/>
      <w:color w:val="292C3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 w:val="0"/>
      <w:iCs w:val="0"/>
      <w:color w:val="292C3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/>
      <w:b/>
      <w:bCs/>
      <w:i w:val="0"/>
      <w:iCs w:val="0"/>
      <w:color w:val="292C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/>
      <w:i w:val="0"/>
      <w:color w:val="292C3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/>
      <w:i w:val="0"/>
      <w:iCs w:val="0"/>
      <w:color w:val="292C3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/>
      <w:i w:val="0"/>
      <w:iCs w:val="0"/>
      <w:color w:val="292C3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/>
      <w:i w:val="0"/>
      <w:color w:val="292C3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/>
      <w:i w:val="0"/>
      <w:iCs w:val="0"/>
      <w:color w:val="292C3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i w:val="0"/>
      <w:color w:val="292C3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  <w:i w:val="0"/>
      <w:color w:val="292C30"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 w:val="0"/>
      <w:iCs w:val="0"/>
      <w:color w:val="292C3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 w:val="0"/>
      <w:iCs w:val="0"/>
      <w:color w:val="292C3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 w:val="0"/>
      <w:iCs w:val="0"/>
      <w:color w:val="292C3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 w:val="0"/>
      <w:iCs w:val="0"/>
      <w:color w:val="292C3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 w:val="0"/>
      <w:iCs w:val="0"/>
      <w:color w:val="292C3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i w:val="0"/>
      <w:smallCaps/>
      <w:color w:val="292C3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i w:val="0"/>
      <w:smallCaps/>
      <w:color w:val="292C3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i w:val="0"/>
      <w:smallCaps/>
      <w:color w:val="292C3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i w:val="0"/>
      <w:color w:val="292C3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 w:val="0"/>
      <w:iCs w:val="0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 w:val="0"/>
      <w:iCs w:val="0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 w:val="0"/>
      <w:iCs w:val="0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 w:val="0"/>
      <w:iCs w:val="0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 w:val="0"/>
      <w:iCs w:val="0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 w:val="0"/>
      <w:iCs w:val="0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 w:val="0"/>
      <w:iCs w:val="0"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 w:val="0"/>
      <w:iCs w:val="0"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 w:val="0"/>
      <w:iCs w:val="0"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 w:val="0"/>
      <w:iCs w:val="0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 w:val="0"/>
      <w:iCs w:val="0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 w:val="0"/>
      <w:iCs w:val="0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 w:val="0"/>
      <w:iCs w:val="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 w:val="0"/>
      <w:iCs w:val="0"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 w:val="0"/>
      <w:iCs w:val="0"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 w:val="0"/>
      <w:iCs w:val="0"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 w:val="0"/>
      <w:iCs w:val="0"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Состав комплекта и рабочие результаты</dc:title>
  <dc:subject>P3 — проверка комплекта перед сдачей</dc:subject>
  <dc:creator>Маржа в бетоне</dc:creator>
  <cp:keywords/>
  <dc:description>generated by python-docx</dc:description>
  <cp:lastModifiedBy/>
  <cp:revision>1</cp:revision>
  <dcterms:created xsi:type="dcterms:W3CDTF">2026-10-14T00:00:00Z</dcterms:created>
  <dcterms:modified xsi:type="dcterms:W3CDTF">2026-10-14T00:00:00Z</dcterms:modified>
  <cp:category/>
</cp:coreProperties>
</file>