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ПОРЯДОК ВНУТРЕННЕЙ ПРОВЕРКИ комплекта КС перед сдачей</w:t>
      </w:r>
    </w:p>
    <w:p/>
    <w:p>
      <w:pPr>
        <w:pStyle w:val="Heading1"/>
      </w:pPr>
      <w:r>
        <w:t>Этап 1. Проверка подрядчиком (исполнитель)</w:t>
      </w:r>
    </w:p>
    <w:p>
      <w:pPr>
        <w:pStyle w:val="ListNumber"/>
      </w:pPr>
      <w:r>
        <w:t>Исполнитель заполняет КС-2, КС-3, акты.</w:t>
      </w:r>
    </w:p>
    <w:p>
      <w:pPr>
        <w:pStyle w:val="ListNumber"/>
      </w:pPr>
      <w:r>
        <w:t>Исполнитель проверяет соответствие заполненных форм фактически выполненным работам.</w:t>
      </w:r>
    </w:p>
    <w:p>
      <w:pPr>
        <w:pStyle w:val="ListNumber"/>
      </w:pPr>
      <w:r>
        <w:t>Исполнитель собирает все приложения (акты, схемы, сертификаты).</w:t>
      </w:r>
    </w:p>
    <w:p>
      <w:pPr>
        <w:pStyle w:val="ListNumber"/>
      </w:pPr>
      <w:r>
        <w:t>Исполнитель заполняет реестр приложений (шаблон - в этом комплекте).</w:t>
      </w:r>
    </w:p>
    <w:p>
      <w:pPr>
        <w:pStyle w:val="ListNumber"/>
      </w:pPr>
      <w:r>
        <w:t>Исполнитель передает комплект руководителю объекта.</w:t>
      </w:r>
    </w:p>
    <w:p>
      <w:pPr>
        <w:pStyle w:val="Heading1"/>
      </w:pPr>
      <w:r>
        <w:t>Этап 2. Проверка руководителем объекта</w:t>
      </w:r>
    </w:p>
    <w:p>
      <w:pPr>
        <w:pStyle w:val="ListNumber"/>
      </w:pPr>
      <w:r>
        <w:t>Проверяет полноту комплекта по реестру.</w:t>
      </w:r>
    </w:p>
    <w:p>
      <w:pPr>
        <w:pStyle w:val="ListNumber"/>
      </w:pPr>
      <w:r>
        <w:t>Проверяет соответствие наименований договору.</w:t>
      </w:r>
    </w:p>
    <w:p>
      <w:pPr>
        <w:pStyle w:val="ListNumber"/>
      </w:pPr>
      <w:r>
        <w:t>Проверяет даты и номера на логические ошибки.</w:t>
      </w:r>
    </w:p>
    <w:p>
      <w:pPr>
        <w:pStyle w:val="ListNumber"/>
      </w:pPr>
      <w:r>
        <w:t>Проверяет подписи уполномоченных представителей и основания их полномочий. Необходимость печати сверяет по применимым требованиям и договору.</w:t>
      </w:r>
    </w:p>
    <w:p>
      <w:pPr>
        <w:pStyle w:val="ListNumber"/>
      </w:pPr>
      <w:r>
        <w:t>Если ошибки - возвращает на доработку с указанием замечаний.</w:t>
      </w:r>
    </w:p>
    <w:p>
      <w:pPr>
        <w:pStyle w:val="ListNumber"/>
      </w:pPr>
      <w:r>
        <w:t>Если ОК - подписывает и передает в бухгалтерию.</w:t>
      </w:r>
    </w:p>
    <w:p>
      <w:pPr>
        <w:pStyle w:val="Heading1"/>
      </w:pPr>
      <w:r>
        <w:t>Этап 3. Проверка бухгалтерией</w:t>
      </w:r>
    </w:p>
    <w:p>
      <w:pPr>
        <w:pStyle w:val="ListNumber"/>
      </w:pPr>
      <w:r>
        <w:t>Проверяет расчеты по КС-3.</w:t>
      </w:r>
    </w:p>
    <w:p>
      <w:pPr>
        <w:pStyle w:val="ListNumber"/>
      </w:pPr>
      <w:r>
        <w:t>Проверяет соответствие сумм смете.</w:t>
      </w:r>
    </w:p>
    <w:p>
      <w:pPr>
        <w:pStyle w:val="ListNumber"/>
      </w:pPr>
      <w:r>
        <w:t>Проверяет наличие всех первичных документов.</w:t>
      </w:r>
    </w:p>
    <w:p>
      <w:pPr>
        <w:pStyle w:val="ListNumber"/>
      </w:pPr>
      <w:r>
        <w:t>Оформляет внутреннюю визу, если она предусмотрена принятым порядком. Самостоятельного универсального требования подписи бухгалтера на КС-3 нет.</w:t>
      </w:r>
    </w:p>
    <w:p>
      <w:pPr>
        <w:pStyle w:val="ListNumber"/>
      </w:pPr>
      <w:r>
        <w:t>Передает на подписание руководителю организации.</w:t>
      </w:r>
    </w:p>
    <w:p>
      <w:pPr>
        <w:pStyle w:val="Heading1"/>
      </w:pPr>
      <w:r>
        <w:t>Этап 4. Подписание руководителем организации</w:t>
      </w:r>
    </w:p>
    <w:p>
      <w:r>
        <w:t>КС-2 и КС-3 подписывают уполномоченные представители организации по принятой форме и подтверждённым полномочиям. Затем комплект направляют заказчику.</w:t>
      </w:r>
    </w:p>
    <w:p>
      <w:pPr>
        <w:pStyle w:val="Heading1"/>
      </w:pPr>
      <w:r>
        <w:t>Этап 5. Передача заказчику</w:t>
      </w:r>
    </w:p>
    <w:p>
      <w:pPr>
        <w:pStyle w:val="ListNumber"/>
      </w:pPr>
      <w:r>
        <w:t>Состав передачи фиксируется описью и сопроводительным письмом; акт передачи оформляют, если он предусмотрен договором или согласован сторонами.</w:t>
      </w:r>
    </w:p>
    <w:p>
      <w:pPr>
        <w:pStyle w:val="ListNumber"/>
      </w:pPr>
      <w:r>
        <w:t>Передайте комплект по договорному каналу. Сохраните состав и версию переданных документов, адресата, дату и доказательства доставки; одного подтверждения отправления недостаточно для всех ситуаций.</w:t>
      </w:r>
    </w:p>
    <w:p>
      <w:pPr>
        <w:pStyle w:val="ListNumber"/>
      </w:pPr>
      <w:r>
        <w:t>В журнале передачи делается запись: дата, получатель, количество документов.</w:t>
      </w:r>
    </w:p>
    <w:p>
      <w:pPr>
        <w:pStyle w:val="Heading1"/>
      </w:pPr>
      <w:r>
        <w:t>Сроки проверки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Этап</w:t>
            </w:r>
          </w:p>
        </w:tc>
        <w:tc>
          <w:tcPr>
            <w:tcW w:type="dxa" w:w="2880"/>
          </w:tcPr>
          <w:p>
            <w:r>
              <w:t>Рекомендуемый внутренний срок</w:t>
            </w:r>
          </w:p>
        </w:tc>
        <w:tc>
          <w:tcPr>
            <w:tcW w:type="dxa" w:w="2880"/>
          </w:tcPr>
          <w:p>
            <w:r>
              <w:t>Ответственный</w:t>
            </w:r>
          </w:p>
        </w:tc>
      </w:tr>
      <w:tr>
        <w:tc>
          <w:tcPr>
            <w:tcW w:type="dxa" w:w="2880"/>
          </w:tcPr>
          <w:p>
            <w:r>
              <w:t>Исполнитель</w:t>
            </w:r>
          </w:p>
        </w:tc>
        <w:tc>
          <w:tcPr>
            <w:tcW w:type="dxa" w:w="2880"/>
          </w:tcPr>
          <w:p>
            <w:r>
              <w:t>1 рабочий день</w:t>
            </w:r>
          </w:p>
        </w:tc>
        <w:tc>
          <w:tcPr>
            <w:tcW w:type="dxa" w:w="2880"/>
          </w:tcPr>
          <w:p>
            <w:r>
              <w:t>Прораб / мастер</w:t>
            </w:r>
          </w:p>
        </w:tc>
      </w:tr>
      <w:tr>
        <w:tc>
          <w:tcPr>
            <w:tcW w:type="dxa" w:w="2880"/>
          </w:tcPr>
          <w:p>
            <w:r>
              <w:t>Руководитель объекта</w:t>
            </w:r>
          </w:p>
        </w:tc>
        <w:tc>
          <w:tcPr>
            <w:tcW w:type="dxa" w:w="2880"/>
          </w:tcPr>
          <w:p>
            <w:r>
              <w:t>1 рабочий день</w:t>
            </w:r>
          </w:p>
        </w:tc>
        <w:tc>
          <w:tcPr>
            <w:tcW w:type="dxa" w:w="2880"/>
          </w:tcPr>
          <w:p>
            <w:r>
              <w:t>Руководитель строительства</w:t>
            </w:r>
          </w:p>
        </w:tc>
      </w:tr>
      <w:tr>
        <w:tc>
          <w:tcPr>
            <w:tcW w:type="dxa" w:w="2880"/>
          </w:tcPr>
          <w:p>
            <w:r>
              <w:t>Бухгалтерия</w:t>
            </w:r>
          </w:p>
        </w:tc>
        <w:tc>
          <w:tcPr>
            <w:tcW w:type="dxa" w:w="2880"/>
          </w:tcPr>
          <w:p>
            <w:r>
              <w:t>1 рабочий день</w:t>
            </w:r>
          </w:p>
        </w:tc>
        <w:tc>
          <w:tcPr>
            <w:tcW w:type="dxa" w:w="2880"/>
          </w:tcPr>
          <w:p>
            <w:r>
              <w:t>Главный бухгалтер</w:t>
            </w:r>
          </w:p>
        </w:tc>
      </w:tr>
      <w:tr>
        <w:tc>
          <w:tcPr>
            <w:tcW w:type="dxa" w:w="2880"/>
          </w:tcPr>
          <w:p>
            <w:r>
              <w:t>Руководитель организации</w:t>
            </w:r>
          </w:p>
        </w:tc>
        <w:tc>
          <w:tcPr>
            <w:tcW w:type="dxa" w:w="2880"/>
          </w:tcPr>
          <w:p>
            <w:r>
              <w:t>1 рабочий день</w:t>
            </w:r>
          </w:p>
        </w:tc>
        <w:tc>
          <w:tcPr>
            <w:tcW w:type="dxa" w:w="2880"/>
          </w:tcPr>
          <w:p>
            <w:r>
              <w:t>Генеральный директор</w:t>
            </w:r>
          </w:p>
        </w:tc>
      </w:tr>
      <w:tr>
        <w:tc>
          <w:tcPr>
            <w:tcW w:type="dxa" w:w="2880"/>
          </w:tcPr>
          <w:p>
            <w:r>
              <w:t>ИТОГО</w:t>
            </w:r>
          </w:p>
        </w:tc>
        <w:tc>
          <w:tcPr>
            <w:tcW w:type="dxa" w:w="2880"/>
          </w:tcPr>
          <w:p>
            <w:r>
              <w:t>4 рабочих дня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  <w:keepNext/>
      </w:pPr>
      <w:r>
        <w:t>Переход к полному комплекту</w:t>
      </w:r>
    </w:p>
    <w:p>
      <w:pPr>
        <w:keepLines/>
      </w:pPr>
      <w:r>
        <w:t>Комплект «КС-2 без возврата: сдайте с первой попытки» включает: готовые акты передачи, журнал с автоматическим отслеживанием, алгоритм работы с возвратами, типовые ответы на замечания.</w:t>
        <w:br/>
        <w:br/>
        <w:t>Стоимость: 17 900 ₽</w:t>
        <w:br/>
        <w:t>Страница комплекта: https://nastoronepodryadchika.ru/products/p3-shablony-ks2-ks3.html</w:t>
      </w:r>
    </w:p>
    <w:p>
      <w:pPr>
        <w:pStyle w:val="Heading2"/>
        <w:keepNext/>
      </w:pPr>
      <w:r>
        <w:t>Как применять внутренние сроки</w:t>
      </w:r>
    </w:p>
    <w:p>
      <w:r>
        <w:t>Один рабочий день на этап и четыре дня в сумме — организационный ориентир этого порядка. Утвердите ответственных и реальные сроки внутри организации. Этот график не является сроком из закона и не продлевает срок сдачи документов по договору.</w:t>
      </w:r>
    </w:p>
    <w:p>
      <w:r>
        <w:t>Проверяйте КС-2 и КС-3 за один и тот же период, состав работ, накопительные графы и НДС. КС-6а — журнал учёта выполненных работ; он не заменяет общий журнал работ. Состав приложений определяется работами, проектом, договором и применимыми требованиями.</w:t>
      </w:r>
    </w:p>
    <w:p>
      <w:hyperlink r:id="rIdNspReview1">
        <w:r>
          <w:rPr>
            <w:color w:val="1F4E79"/>
            <w:u w:val="single"/>
          </w:rPr>
          <w:t>402-ФЗ, ст. 9, ч. 2 и 4 — реквизиты, подписи и выбор формы</w:t>
        </w:r>
      </w:hyperlink>
    </w:p>
    <w:p>
      <w:r>
        <w:t>Контроль: до отправки сверьте опись и подписи, после отправки сохраните подтверждение доставки. При возврате запросите письменные замечания по конкретным позициям, устраните обоснованные ошибки и зафиксируйте повторную передачу.</w:t>
      </w:r>
    </w:p>
    <w:p>
      <w:r>
        <w:t>Поддержка: nastoronepodryadchika@yandex.ru. В теме укажите FREE-vozvrat-ks и имя файла; в сообщении — пункт или ячейку, пример и ожидаемый результат. Приложите копию без конфиденциальных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NspReview1" Type="http://schemas.openxmlformats.org/officeDocument/2006/relationships/hyperlink" Target="https://www.consultant.ru/document/cons_doc_LAW_122855/b24121ba7152f33673608559f2ca844ef5b6a74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