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E8031"/>
          <w:sz w:val="22"/>
        </w:rPr>
        <w:t>Порядок подготовки договора строительного субподряда</w:t>
      </w:r>
    </w:p>
    <w:p>
      <w:r>
        <w:rPr>
          <w:b/>
          <w:color w:val="AE8031"/>
          <w:sz w:val="22"/>
        </w:rPr>
        <w:t>Результат</w:t>
      </w:r>
    </w:p>
    <w:p>
      <w:r>
        <w:rPr>
          <w:b w:val="0"/>
          <w:color w:val="2B3239"/>
        </w:rPr>
        <w:t>По каждому объёму фиксируются состав работ и редакция проекта, цена, дата передачи фронта, контрольные этапы, комплект сдачи и событие оплаты.</w:t>
      </w:r>
    </w:p>
    <w:p>
      <w:r>
        <w:rPr>
          <w:b/>
          <w:color w:val="AE8031"/>
          <w:sz w:val="22"/>
        </w:rPr>
        <w:t>Порядок действий</w:t>
      </w:r>
    </w:p>
    <w:p>
      <w:r>
        <w:rPr>
          <w:b w:val="0"/>
          <w:color w:val="2B3239"/>
        </w:rPr>
        <w:t>1. Заполните договор 01 и перечень 02: состав работ, единицы измерения, объёмы, редакции проекта и исключения. Расценки и стоимость закрепите в смете с указанием её номера и даты в договоре.</w:t>
      </w:r>
    </w:p>
    <w:p>
      <w:r>
        <w:rPr>
          <w:b w:val="0"/>
          <w:color w:val="2B3239"/>
        </w:rPr>
        <w:t>2. Согласуйте календарный план 03 и график платежей 05. Заполните даты, условия начала и сумму аванса.</w:t>
      </w:r>
    </w:p>
    <w:p>
      <w:pPr>
        <w:keepLines/>
      </w:pPr>
      <w:r>
        <w:rPr>
          <w:b w:val="0"/>
          <w:color w:val="2B3239"/>
        </w:rPr>
        <w:t>3. Сверьте приложение о приёмке 04, условия уведомлений, удержания, санкций и гарантий. Используйте карты 08 и 09. По п. 2.3 договора предупреждение об обстоятельствах ст. 716 направляется немедленно; общий срок п. 4.2 для него не применяется.</w:t>
      </w:r>
    </w:p>
    <w:p>
      <w:r>
        <w:rPr>
          <w:b w:val="0"/>
          <w:color w:val="2B3239"/>
        </w:rPr>
        <w:t>4. Внесите возражения в протокол 10 до подписания. Изменение объёма или срока в ходе работ оформляйте соглашениями 06 и 07.</w:t>
      </w:r>
    </w:p>
    <w:p>
      <w:r>
        <w:rPr>
          <w:b w:val="0"/>
          <w:color w:val="2B3239"/>
        </w:rPr>
        <w:t>5. Подпишите договор и приложения с полномочными представителями; сохраните подтверждение обмена и версии документов.</w:t>
      </w:r>
    </w:p>
    <w:p>
      <w:r>
        <w:rPr>
          <w:b/>
          <w:color w:val="AE8031"/>
          <w:sz w:val="22"/>
        </w:rPr>
        <w:t>Контроль перед подписанием</w:t>
      </w:r>
    </w:p>
    <w:p>
      <w:r>
        <w:rPr>
          <w:b w:val="0"/>
          <w:color w:val="2B3239"/>
        </w:rPr>
        <w:t>Заполните реквизиты и условия по документам объекта. Удалите рабочие подсказки, сверьте проект, договор и приложения. Каждое изменение прав и обязанностей согласуйте в конкретной редакции пункта.</w:t>
      </w:r>
    </w:p>
    <w:p>
      <w:pPr>
        <w:keepNext/>
        <w:keepLines/>
        <w:spacing w:after="100"/>
      </w:pPr>
      <w:r>
        <w:rPr>
          <w:b/>
          <w:sz w:val="20"/>
        </w:rPr>
        <w:t>Два срока в претензионном порядке</w:t>
      </w:r>
    </w:p>
    <w:p>
      <w:pPr>
        <w:keepLines/>
        <w:spacing w:after="100"/>
      </w:pPr>
      <w:r>
        <w:rPr>
          <w:b w:val="0"/>
          <w:sz w:val="20"/>
        </w:rPr>
        <w:t>В п. 7.2 отдельно заполните срок ответа со дня доставки и проверьте ожидание перед иском. Для соответствующих денежных споров общий срок ожидания — 30 календарных дней со дня направления претензии; иной срок или порядок должен быть явно установлен законом или договором. Поступление ответа само по себе не подменяет проверку применимого досудебного порядка.</w:t>
      </w:r>
    </w:p>
    <w:p>
      <w:pPr>
        <w:keepNext/>
        <w:keepLines/>
        <w:spacing w:after="100"/>
      </w:pPr>
      <w:r>
        <w:rPr>
          <w:b/>
          <w:sz w:val="20"/>
        </w:rPr>
        <w:t>Пример согласования графика платежей</w:t>
      </w:r>
    </w:p>
    <w:p>
      <w:pPr>
        <w:keepLines/>
        <w:spacing w:after="100"/>
      </w:pPr>
      <w:r>
        <w:rPr>
          <w:b w:val="0"/>
          <w:sz w:val="20"/>
        </w:rPr>
        <w:t>Условная цена — 1 000 000 ₽; два этапа по 500 000 ₽. Аванс — 200 000 ₽. При каждом этапе погашается 100 000 ₽ аванса и удерживается 25 000 ₽; денежная оплата этапа — 375 000 ₽. Проверка: 200 000 + 375 000 + 375 000 + 50 000 возврата удержания = 1 000 000 ₽. Событие и срок возврата удержания устанавливаются отдельно. В графике 05 не вычитайте полученный аванс второй раз и не называйте его погашение новой выплатой.</w:t>
      </w:r>
    </w:p>
    <w:p>
      <w:pPr>
        <w:keepNext/>
        <w:keepLines/>
        <w:spacing w:after="100"/>
      </w:pPr>
      <w:r>
        <w:rPr>
          <w:b/>
          <w:sz w:val="20"/>
        </w:rPr>
        <w:t>Нормативные основания · проверено 22.10.2026</w:t>
      </w:r>
    </w:p>
    <w:p>
      <w:pPr>
        <w:spacing w:after="80"/>
      </w:pPr>
      <w:hyperlink r:id="rId10">
        <w:r>
          <w:rPr>
            <w:color w:val="806238"/>
            <w:u w:val="single"/>
            <w:sz w:val="19"/>
          </w:rPr>
          <w:t>ГК РФ, ст. 716, пп. 1–2 — немедленное предупреждение и последствия его нарушения</w:t>
        </w:r>
      </w:hyperlink>
    </w:p>
    <w:p>
      <w:pPr>
        <w:spacing w:after="80"/>
      </w:pPr>
      <w:hyperlink r:id="rId11">
        <w:r>
          <w:rPr>
            <w:color w:val="806238"/>
            <w:u w:val="single"/>
            <w:sz w:val="19"/>
          </w:rPr>
          <w:t>АПК РФ, ст. 4, ч. 5 — досудебный порядок, срок и исключения</w:t>
        </w:r>
      </w:hyperlink>
    </w:p>
    <w:p>
      <w:pPr>
        <w:spacing w:after="80"/>
      </w:pPr>
      <w:hyperlink r:id="rId12">
        <w:r>
          <w:rPr>
            <w:color w:val="806238"/>
            <w:u w:val="single"/>
            <w:sz w:val="19"/>
          </w:rPr>
          <w:t>ГК РФ, ст. 165.1 — доставка юридически значимых сообщений</w:t>
        </w:r>
      </w:hyperlink>
    </w:p>
    <w:p>
      <w:pPr>
        <w:keepNext/>
        <w:keepLines/>
        <w:spacing w:after="100"/>
      </w:pPr>
      <w:r>
        <w:rPr>
          <w:b/>
          <w:sz w:val="20"/>
        </w:rPr>
        <w:t>Помощь по комплекту</w:t>
      </w:r>
    </w:p>
    <w:p>
      <w:pPr>
        <w:keepLines/>
        <w:spacing w:after="100"/>
      </w:pPr>
      <w:r>
        <w:rPr>
          <w:b w:val="0"/>
          <w:sz w:val="18"/>
        </w:rPr>
        <w:t>Вопрос по заполнению или ошибка: nastoronepodryadchika@yandex.ru. Укажите P7, редакцию 22.10.2026, имя файла и пункт. Для Excel — лист и ячейку. Пример направляйте без персональных и конфиденциальных данных.</w:t>
      </w:r>
    </w:p>
    <w:p>
      <w:pPr>
        <w:spacing w:after="80"/>
      </w:pPr>
      <w:hyperlink r:id="rId13">
        <w:r>
          <w:rPr>
            <w:color w:val="806238"/>
            <w:u w:val="single"/>
            <w:sz w:val="19"/>
          </w:rPr>
          <w:t>Написать вопрос по P7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onsultant.ru/document/cons_doc_LAW_9027/0a0cc8dfd273d410f517bdd9e782b401d8b1db57/" TargetMode="External"/><Relationship Id="rId11" Type="http://schemas.openxmlformats.org/officeDocument/2006/relationships/hyperlink" Target="https://www.consultant.ru/document/cons_doc_LAW_37800/4d77fceae32b76a1cc26db3a1c64857d59045fdc/" TargetMode="External"/><Relationship Id="rId12" Type="http://schemas.openxmlformats.org/officeDocument/2006/relationships/hyperlink" Target="https://www.consultant.ru/document/cons_doc_LAW_5142/1996a193f316d0ef7da6d50cf44745feeda864f1/" TargetMode="External"/><Relationship Id="rId13" Type="http://schemas.openxmlformats.org/officeDocument/2006/relationships/hyperlink" Target="mailto:nastoronepodryadchika@yandex.ru?subject=P7%20-%20ques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