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c>
          <w:tcPr>
            <w:tcW w:type="dxa" w:w="73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r>
        <w:rPr>
          <w:b w:val="0"/>
          <w:i w:val="0"/>
        </w:rPr>
        <w:t>Уведомление (файл 06) —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 w:val="0"/>
          <w:i w:val="0"/>
        </w:rPr>
        <w:t>Файл 06 — готовое письмо заказчику: в нём только реквизиты сторон, текст, таблица актов, приложение и подпись. Пояснений в письме нет: раздел «Важно, прочитайте до использования» и примечание о редакции-кандидате в начале этого файла относятся и к файлу 06 — прочитайте их до отправки.</w:t>
      </w:r>
    </w:p>
    <w:p>
      <w:r>
        <w:rPr>
          <w:b/>
          <w:i w:val="0"/>
        </w:rPr>
        <w:t>Как заполнить письмо</w:t>
      </w:r>
    </w:p>
    <w:p>
      <w:pPr>
        <w:pStyle w:val="ListBullet"/>
      </w:pPr>
      <w:r>
        <w:t>Таблица актов (строки 1–12 файла 06) — по одной строке на акт с листа «Долг по актам» файла 04 (строки 5–34): № и дата акта — колонка C, последний день срока оплаты — колонка D.</w:t>
      </w:r>
    </w:p>
    <w:p>
      <w:pPr>
        <w:pStyle w:val="ListBullet"/>
      </w:pPr>
      <w:r>
        <w:t>Замените все поля в двойных фигурных скобках; перед печатью в письме не должно остаться ни одного поля.</w:t>
      </w:r>
    </w:p>
    <w:p>
      <w:r>
        <w:rPr>
          <w:b/>
          <w:i w:val="0"/>
        </w:rP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(строка 4) и строки с операциями (с 5-й, 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r>
        <w:rPr>
          <w:b/>
          <w:i w:val="0"/>
        </w:rP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