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Как заполнять: словарь полей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i/>
          <w:iCs/>
          <w:color w:val="595959"/>
          <w:sz w:val="24"/>
          <w:szCs w:val="24"/>
        </w:rPr>
        <w:t xml:space="preserve">Единый словарь подстановок для всех документов комплекта.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2F2F2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Важно, прочитайте до использования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Это типовой шаблон, а не юридическая консультация и не гарантия взыскания. Он рассчитан на типовую ситуацию: работы приняты, акты подписаны обеими сторонами без замечаний, встречных требований нет.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Типовая редакция сверена с текстом действующих норм 15.08.2026. Нормативная сверка — это сопоставление формулировок, сроков и порядка со статьями закона; юридической консультацией и вычиткой юристом она не является. Шаблон не заменяет консультацию по конкретной ситуации: выводы зависят от условий вашего договора, состава подписанных документов и обстоятельств спора, и приоритет всегда у договора. Если заказчик оспаривает объёмы или качество, заявляет зачёт, если акты подписаны неуполномоченным лицом или в картотеке арбитражных дел появилось дело о банкротстве должника — типовой текст создаёт ложную уверенность. В этих случаях обращайтесь к юристу до отправки.</w:t>
            </w:r>
          </w:p>
          <w:p>
            <w:pPr>
              <w:spacing w:after="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Ставок, сроков и размеров пошлин числом в шаблоне нет намеренно: они меняются, а скачанный файл не обновляется. Каждое число вы берёте из названного источника на дату составления документа.</w:t>
            </w:r>
          </w:p>
        </w:tc>
      </w:tr>
    </w:tbl>
    <w:p>
      <w:pPr>
        <w:spacing w:after="120" w:line="276"/>
      </w:pP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Формат поля — двойные фигурные скобки и имя заглавными буквами: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{{ИМЯ_ПОЛЯ}}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Одно поле означает одно и то же во всех документах: значение, подставленное в уведомление, без изменений переносится в претензию и в иск. Заполняйте словарь один раз — дальше он работает на весь комплект.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Главное правило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Перед отправкой любого документа найдите поиском символы «{{». Если они нашлись — документ не готов. Незаполненное поле в отправленной претензии хуже задержки на день: оно показывает получателю, что вы отправили шаблон, не читая.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Стороны</w:t>
      </w:r>
    </w:p>
    <w:tbl>
      <w:tblPr>
        <w:tblW w:type="dxa" w:w="90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400"/>
        <w:gridCol w:w="2760"/>
      </w:tblGrid>
      <w:tr>
        <w:trPr>
          <w:tblHeader/>
        </w:trPr>
        <w:tc>
          <w:tcPr>
            <w:tcW w:type="dxa" w:w="29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Поле</w:t>
            </w:r>
          </w:p>
        </w:tc>
        <w:tc>
          <w:tcPr>
            <w:tcW w:type="dxa" w:w="34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Что подставить</w:t>
            </w:r>
          </w:p>
        </w:tc>
        <w:tc>
          <w:tcPr>
            <w:tcW w:type="dxa" w:w="276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Откуда брать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{{НАИМЕНОВАНИЕ_ПОДРЯДЧИКА}}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Полное наименование вашей организации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учредительные документы, выписка ЕГРЮЛ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{{ИНН_ПОДРЯДЧИКА}}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{{ОГРН_ПОДРЯДЧИКА}}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ИНН и ОГРН вашей организации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выписка ЕГРЮЛ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{{АДРЕС_ПОДРЯДЧИКА}}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Юридический адрес вашей организации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выписка ЕГРЮЛ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{{КОНТАКТЫ_ПОДРЯДЧИКА}}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Телефон и адрес электронной почты для суда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ваши рабочие контакты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{{БАНКОВСКИЕ_РЕКВИЗИТЫ_ПОДРЯДЧИКА}}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Расчётный счёт, банк, БИК, корсчёт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справка банка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{{НАИМЕНОВАНИЕ_ЗАКАЗЧИКА}}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Полное наименование должника — стороны договора, обязанной платить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договор и актуальная выписка ЕГРЮЛ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{{ИНН_ЗАКАЗЧИКА}}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{{ОГРН_ЗАКАЗЧИКА}}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ИНН и ОГРН должника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выписка ЕГРЮЛ; для иска они обязательны (ст. 125 АПК РФ)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{{АДРЕС_ЗАКАЗЧИКА}}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Юридический адрес должника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свежая выписка ЕГРЮЛ, а не шапка договора: адрес мог смениться. Для приложения к иску выписка должна быть получена в срок, установленный п. 9 ч. 1 ст. 126 АПК РФ, до дня подачи — число дней в шаблон намеренно не зашито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{{ДОЛЖНОСТЬ_ПОДПИСАНТА}}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{{ФИО_ПОДПИСАНТА}}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Кто подписывает от вашей организации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устав, доверенность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{{ОСНОВАНИЕ_ПОЛНОМОЧИЙ}}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«действующего на основании Устава» либо реквизиты доверенности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устав, доверенность</w:t>
            </w:r>
          </w:p>
        </w:tc>
      </w:tr>
    </w:tbl>
    <w:p>
      <w:r>
        <w:br w:type="page"/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Договор и объект</w:t>
      </w:r>
    </w:p>
    <w:tbl>
      <w:tblPr>
        <w:tblW w:type="dxa" w:w="90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400"/>
        <w:gridCol w:w="2760"/>
      </w:tblGrid>
      <w:tr>
        <w:trPr>
          <w:tblHeader/>
        </w:trPr>
        <w:tc>
          <w:tcPr>
            <w:tcW w:type="dxa" w:w="29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Поле</w:t>
            </w:r>
          </w:p>
        </w:tc>
        <w:tc>
          <w:tcPr>
            <w:tcW w:type="dxa" w:w="34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Что подставить</w:t>
            </w:r>
          </w:p>
        </w:tc>
        <w:tc>
          <w:tcPr>
            <w:tcW w:type="dxa" w:w="276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Откуда брать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{{НОМЕР_ДОГОВОРА}}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{{ДАТА_ДОГОВОРА}}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Реквизиты договора субподряда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титульный лист договора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{{ПРЕДМЕТ_ДОГОВОРА}}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Краткое описание работ по договору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раздел «Предмет договора»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{{ОБЪЕКТ}}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Наименование и адрес объекта строительства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договор, проектная документация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{{ПУНКТ_ДОГОВОРА_ОБ_ОПЛАТЕ}}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Номер пункта о порядке и сроке оплаты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текст договора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{{СРОК_ОПЛАТЫ_ПО_ДОГОВОРУ}}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Срок оплаты дословно, как в договоре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текст договора; если срок не установлен — см. раздел «Если договор не устанавливает срок оплаты» в претензии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{{ПУНКТ_ДОГОВОРА_О_НЕУСТОЙКЕ}}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Пункт о неустойке за просрочку оплаты, если он есть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текст договора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{{ПУНКТ_ДОГОВОРА_О_ПРЕТЕНЗИОННОМ_ПОРЯДКЕ}}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Пункт о досудебном порядке и сроке ответа на претензию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текст договора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{{ПУНКТ_ДОГОВОРА_О_ПОДСУДНОСТИ}}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Пункт о договорной подсудности, если он есть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текст договора</w:t>
            </w:r>
          </w:p>
        </w:tc>
      </w:tr>
    </w:tbl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Акты и долг</w:t>
      </w:r>
    </w:p>
    <w:tbl>
      <w:tblPr>
        <w:tblW w:type="dxa" w:w="90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400"/>
        <w:gridCol w:w="2760"/>
      </w:tblGrid>
      <w:tr>
        <w:trPr>
          <w:tblHeader/>
        </w:trPr>
        <w:tc>
          <w:tcPr>
            <w:tcW w:type="dxa" w:w="29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Поле</w:t>
            </w:r>
          </w:p>
        </w:tc>
        <w:tc>
          <w:tcPr>
            <w:tcW w:type="dxa" w:w="34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Что подставить</w:t>
            </w:r>
          </w:p>
        </w:tc>
        <w:tc>
          <w:tcPr>
            <w:tcW w:type="dxa" w:w="276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Откуда брать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{{НОМЕР_КС2}}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{{ДАТА_КС2}}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Реквизиты акта о приёмке выполненных работ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подписанный акт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{{НОМЕР_КС3}}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{{ДАТА_КС3}}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Реквизиты справки о стоимости работ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подписанная справка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{{СУММА_ПО_АКТУ}}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Стоимость работ по акту: цифрами и прописью, с указанием НДС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КС-2 и КС-3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{{СУММА_ДОЛГА}}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Неоплаченный остаток за вычетом авансов и частичных оплат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акты сверки, банковские выписки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{{ДАТА_НАЧАЛА_ПРОСРОЧКИ}}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Первый день просрочки: день, следующий за последним днём срока оплаты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 договору, а не по формуле: (1) найдите, от какого события договор считает срок оплаты — подписание акта заказчиком, подписание КС-3, получение счёта, передача исполнительной документации; дата, проставленная в КС-2, и дата её подписания заказчиком — разные даты; (2) отсчитайте срок от этого события, не считая самого дня события: течение срока начинается на следующий день после наступления события (ст. 191 ГК РФ); (3) если последний день срока нерабочий, окончанием считается ближайший следующий рабочий день (ст. 193 ГК РФ); (4) первый день просрочки — следующий за днём окончания срока. Ошибка здесь меняет сумму процентов, цену иска и пошлину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{{ЧИСЛО_ДНЕЙ_ПРОСРОЧКИ}}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Дней просрочки на дату документа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файл расчёта процентов</w:t>
            </w:r>
          </w:p>
        </w:tc>
      </w:tr>
    </w:tbl>
    <w:p>
      <w:r>
        <w:br w:type="page"/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Проценты и суд</w:t>
      </w:r>
    </w:p>
    <w:tbl>
      <w:tblPr>
        <w:tblW w:type="dxa" w:w="90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400"/>
        <w:gridCol w:w="2760"/>
      </w:tblGrid>
      <w:tr>
        <w:trPr>
          <w:tblHeader/>
        </w:trPr>
        <w:tc>
          <w:tcPr>
            <w:tcW w:type="dxa" w:w="29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Поле</w:t>
            </w:r>
          </w:p>
        </w:tc>
        <w:tc>
          <w:tcPr>
            <w:tcW w:type="dxa" w:w="34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Что подставить</w:t>
            </w:r>
          </w:p>
        </w:tc>
        <w:tc>
          <w:tcPr>
            <w:tcW w:type="dxa" w:w="276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Откуда брать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{{КЛЮЧЕВАЯ_СТАВКА_ЦБ}}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Ключевая ставка Банка России, действовавшая в соответствующий период просрочки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только сайт Банка России cbr.ru, раздел «Ключевая ставка». В шаблонах значения нет намеренно: ставка меняется, документ — нет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{{СУММА_ПРОЦЕНТОВ}}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Проценты по ст. 395 ГК РФ на дату документа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файл расчёта процентов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{{СРОК_ОТВЕТА_НА_ПРЕТЕНЗИЮ}}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Срок из пункта договора о претензионном порядке; если договор молчит — срок назначаете вы сами. Ч. 5 ст. 4 АПК РФ задаёт не срок ответа, а срок ожидания до подачи иска, который считается со дня направления претензии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договор. В действующей редакции ч. 5 ст. 4 АПК РФ проверить срок ожидания до подачи иска — число дней в шаблон намеренно не зашито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{{СРОК_ИСПОЛНЕНИЯ_ТРЕБОВАНИЯ}}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Дата, до которой вы требуете и ответа, и оплаты в первом письме. Один срок на оба требования — так он и написан в тексте письма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ваше решение; законом не регулируется. Срок ожидания перед иском он не сокращает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{{НАИМЕНОВАНИЕ_АРБИТРАЖНОГО_СУДА}}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Арбитражный суд по подсудности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договор (ст. 37 АПК РФ) либо суд по адресу ответчика (ст. 35 АПК РФ)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{{ЦЕНА_ИСКА}}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Долг плюс проценты (или неустойка) на дату подачи иска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файл расчёта процентов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{{РАЗМЕР_ГОСПОШЛИНЫ}}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Госпошлина от цены иска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ст. 333.21 НК РФ; считать калькулятором на сайте арбитражного суда или в «Мой арбитр». По памяти не писать: размеры менялись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{{ИСХОДЯЩИЙ_НОМЕР}}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{{ДАТА_ДОКУМЕНТА}}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Исходящий номер и дата по вашему журналу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делопроизводство организации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{{ДАТА_ПРЕТЕНЗИИ}}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{{ДАТА_ОТПРАВКИ_ПРЕТЕНЗИИ}}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Дата претензии и дата её фактического направления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опись вложения, трек-номер отправления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{{ДЕНЬ_ОТПРАВКИ_ПРЕТЕНЗИИ}}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На какой день просрочки вы отправляете претензию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ваше решение; управленческий срок, не юридический</w:t>
            </w:r>
          </w:p>
        </w:tc>
      </w:tr>
    </w:tbl>
    <w:p>
      <w:r>
        <w:br w:type="page"/>
      </w:r>
    </w:p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Почему в комплекте нет ни одной ставки и ни одного срока числом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Это сделано намеренно, и это главное отличие рабочего шаблона от красивого.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Ключевая ставка Банка России меняется решениями совета директоров. Сроки в процессуальных кодексах правятся. Размеры государственных пошлин пересматриваются. Файл, который вы скачали, не обновляется сам — и шаблон с зашитой прошлогодней ставкой опаснее шаблона без неё: он выглядит готовым и даёт неверную сумму, которую вы отправите контрагенту за своей подписью.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Поэтому каждое число вы приносите сами, из источника, названного в этой таблице, на дату составления документа. Это занимает несколько минут и закрывает главный риск типового документа.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Порядок работы с комплектом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Заполните словарь один раз — выпишите значения всех полей на отдельный лист.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Посчитайте проценты в файле расчёта: он даст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{{СУММА_ПРОЦЕНТОВ}}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и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{{ЧИСЛО_ДНЕЙ_ПРОСРОЧКИ}}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Подставьте значения в нужный документ, удалите пояснения в квадратных скобках, выберите один вариант там, где их два.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Проверьте поиском, что символов «{{» не осталось.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Отправьте так, как описано в разделе «Отправка» соответствующего документа.</w:t>
      </w:r>
    </w:p>
    <w:sectPr>
      <w:pgSz w:w="11906" w:h="16838" w:orient="portrait"/>
      <w:pgMar w:top="1133" w:right="850" w:bottom="1133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—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2026-08-16T07:33:14.681Z</dcterms:created>
  <dcterms:modified xsi:type="dcterms:W3CDTF">2026-08-16T07:33:14.682Z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