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— обязательный шаг перед обращением в арбитражный суд с денежным требованием из договора (ч. 5 ст. 4 АПК РФ). Без направленной претензии иск оставят без рассмотрения: пошлина при этом возвращается или засчитывается в счёт нового обращения, а потерянными окажутся месяцы и темп.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исковую давность. Пункт 3 ст. 202 ГК РФ приостанавливает её течение, если стороны прибегли к предусмотренной законом процедуре разрешения спора во внесудебном порядке: на срок, установленный законом для такой процедуры, а при отсутствии такого срока — на срок, названный этим же пунктом. Относится ли к таким процедурам обязательный претензионный порядок по ч. 5 ст. 4 АПК РФ, из текста нормы не следует — это вопрос толкования, и от ответа зависит дата, после которой иск подавать поздно. Если давность на исходе, не рассчитывайте на приостановление по умолчанию: сверьте остаток срока с юристом и при сомнении подавайте иск раньше. На претензию, которую закон не требует, п. 3 ст. 202 ГК РФ не применяется ни в одном прочтении.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свежей выписки ЕГРЮЛ, а не из шапки договора. Адрес мог смениться, и претензия по старому адресу — это претензия, которую вы не направили.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считается по договору, а не по формуле. Если последний день срока оплаты нерабочий, днём окончания срока считается ближайший следующий рабочий день (ст. 193 ГК РФ), и просрочка начинается на день позже. Полный порядок отсчёта — в файле «Как заполнять: словарь полей», строка этого поля.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пункта договора о претензионном порядке. Если договор молчит, срок ответа назначаете вы сами: ч. 5 ст. 4 АПК РФ задаёт не срок ответа на претензию, а срок ожидания до подачи 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ч. 5 ст. 4 АПК РФ срок ожидания считается со дня НАПРАВЛЕНИЯ претензии, а не со дня её получения, и назначенный вами в претензии более короткий срок его не сокращает: иное устанавливается только законом или договором. Подать иск раньше — значит получить его обратно без рассмотрения.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РФ: когда за неисполнение или просрочку исполнения денежного обязательства договором установлена неустойка, проценты по ст. 395 ГК РФ не подлежат взысканию, если иное не предусмотрено законом или договором (п. 4 ст. 395 ГК РФ). Выбор между ними — вопрос к юристу по конкретному договору.]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и трек-номер сохраните. Они пойдут в приложения к иску как доказательство соблюдения досудебного порядка — без них суд не увидит, что вы вообще что-то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КС-2 и КС-3 — унифицированные формы первичной учётной документации в капитальном строительстве; в договорах и в практике их вводят со ссылкой на постановление Госкомстата России от 11.11.1999 № 100. Реквизиты этого акта в нормативный контур комплекта не входят и по официальному публикатору нами не сверялись: если ссылка на него нужна в вашем документе, проверьте её в правовой базе. На требование об оплате она не влияет — право требовать деньги даёт договор и подписанный акт, а не акт, которым введена форма бланка.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переходом на необязательность унифицированных форм договор может предусматривать собственные формы актов — тогда в тексте ссылайтесь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2026-08-16T07:33:14.847Z</dcterms:created>
  <dcterms:modified xsi:type="dcterms:W3CDTF">2026-08-16T07:33:14.847Z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