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Исковое заявление о взыскании задолженности по договору подряда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Шаблон иска в арбитражный суд: долг за принятые работы и проценты по ст. 395 ГК РФ.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типовой шаблон, а не юридическая консультация и не гарантия взыскания. Он рассчитан на типовую ситуацию: работы приняты, акты подписаны обеими сторонами без замечаний, встречных требований нет.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Типовая редакция сверена с текстом действующих норм 15.08.2026. Нормативная сверка — это сопоставление формулировок, сроков и порядка со статьями закона; юридической консультацией и вычиткой юристом она не является. Шаблон не заменяет консультацию по конкретной ситуации: выводы зависят от условий вашего договора, состава подписанных документов и обстоятельств спора, и приоритет всегда у договора. Если заказчик оспаривает объёмы или качество, заявляет зачёт, если акты подписаны неуполномоченным лицом или в картотеке арбитражных дел появилось дело о банкротстве должника — типовой текст создаёт ложную уверенность. В этих случаях обращайтесь к юристу до отправки.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пошлин числом в шаблоне нет намеренно: они меняются, а скачанный файл не обновляется. Каждое число вы берёте из названного источника на дату составления документа.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Зачем этот документ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Шаблон рассчитан на самый чистый случай: обе стороны — юридические лица или индивидуальные предприниматели, акты подписаны без замечаний, претензионный порядок соблюдён, встречных требований нет. В этом случае иск действительно можно подать самостоятельно.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Когда применяется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Претензия направлена, срок ответа истёк, долг не погашен.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Спор относится к компетенции арбитражного суда: экономический спор между юрлицами или ИП (ст. 27, 28 АПК РФ).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Когда шаблон откладывается и звонят юристу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Это главный риск файла: типовой текст в осложнённом споре создаёт ложную уверенность. Откладывайте шаблон, если: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ответчик оспаривает объёмы или качество работ;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акты подписаны неуполномоченным лицом;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заявлены встречные требования или зачёт;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картотеке арбитражных дел появилось банкротное дело;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работы принимались по односторонним актам (ст. 753 ГК РФ).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этот документ не делает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гарантирует взыскание: решение зависит от доказательств и возражений ответчика. Шаблон обеспечивает форму, а не исход.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заменяет проверку требований АПК на дату подачи. Состав документов и реквизитов установлен ст. 125 и 126 АПК РФ — сверьте с действующей редакцией перед подачей.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Текст искового заявления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Заполните поля в двойных фигурных скобках, выберите вариант там, где их два, удалите пояснения в квадратных скобках. Перед подачей убедитесь поиском, что скобок «{{» в документе не осталось.</w:t>
      </w:r>
    </w:p>
    <w:p>
      <w:pPr>
        <w:pBdr>
          <w:bottom w:val="single" w:color="BFBFBF" w:sz="6" w:space="6"/>
        </w:pBdr>
        <w:spacing w:after="200" w:before="120"/>
      </w:pPr>
    </w:p>
    <w:p>
      <w:pPr>
        <w:spacing w:after="2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{{НАИМЕНОВАНИЕ_АРБИТРАЖНОГО_СУДА}}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Истец: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{{НАИМЕНОВАНИЕ_ПОДРЯДЧИКА}}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{{ИНН_ПОДРЯДЧИКА}}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ОГРН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{{ОГРН_ПОДРЯДЧИКА}}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{{АДРЕС_ПОДРЯДЧИКА}}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Телефон, адрес электронной почты: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{{КОНТАКТЫ_ПОДРЯДЧИКА}}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Ответчик: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{{НАИМЕНОВАНИЕ_ЗАКАЗЧИКА}}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{{ИНН_ЗАКАЗЧИКА}}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ОГРН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{{ОГРН_ЗАКАЗЧИКА}}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{{АДРЕС_ЗАКАЗЧИКА}}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[Вариант, если сторона — индивидуальный предприниматель: вместо наименования, ИНН и ОГРН указываются фамилия, имя и отчество, дата и место рождения, место жительства или место пребывания, дата и место государственной регистрации в качестве индивидуального предпринимателя и один из идентификаторов — по п. 2 и 3 ч. 2 ст. 125 АПК РФ. Вариант применяется к той стороне, которая является ИП: к истцу, к ответчику или к обоим.]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Цена иска: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{{ЦЕНА_ИСКА}}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Государственная пошлина: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{{РАЗМЕР_ГОСПОШЛИНЫ}}</w:t>
      </w:r>
    </w:p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ИСКОВОЕ ЗАЯВЛЕНИЕ</w:t>
      </w:r>
    </w:p>
    <w:p>
      <w:pPr>
        <w:spacing w:after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 взыскании задолженности по договору подряда и процентов</w:t>
      </w:r>
    </w:p>
    <w:p>
      <w:pPr>
        <w:spacing w:after="30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 пользование чужими денежными средствами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Обстоятельства дела.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Между Истцом (Подрядчик) и Ответчиком (Заказчик) заключён договор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(далее — Договор) на выполнение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{{ПРЕДМЕТ_ДОГОВОРА}}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 объекте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{{ОБЪЕКТ}}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Истец выполнил работы, Ответчик принял их без замечаний, что подтверждается актом о приёмке выполненных работ (форма КС-2)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{{НОМЕР_КС2}}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{{ДАТА_КС2}}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 справкой о стоимости выполненных работ и затрат (форма КС-3)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{{НОМЕР_КС3}}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{{ДАТА_КС3}}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 сумму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{{СУММА_ПО_АКТУ}}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[Если актов несколько — реестр актов в приложении.]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Согласно п.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{{ПУНКТ_ДОГОВОРА_ОБ_ОПЛАТЕ}}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Договора оплата производится в срок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{{СРОК_ОПЛАТЫ_ПО_ДОГОВОРУ}}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Срок истёк; с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{{ДАТА_НАЧАЛА_ПРОСРОЧКИ}}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Ответчик находится в просрочке. С учётом частичных оплат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[перечислить либо удалить]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задолженность составляет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{{СУММА_ДОЛГА}}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Правовое обоснование.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Обязательства должны исполняться надлежащим образом; односторонний отказ от исполнения не допускается (ст. 309, 310 ГК РФ). Заказчик обязан оплатить выполненные работы после сдачи результата (ст. 711 ГК РФ), оплата работ по договору строительного подряда производится в размере и порядке, установленных договором (ст. 746 ГК РФ). Сдача и приёмка работ оформлены актами в порядке ст. 753 ГК РФ.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 пользование чужими денежными средствами вследствие просрочки их уплаты подлежат уплате проценты в размере, определяемом ключевой ставкой Банка России, действовавшей в соответствующие периоды (п. 1 ст. 395 ГК РФ). По состоянию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проценты составляют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{{СУММА_ПРОЦЕНТОВ}}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(расчёт — Приложение № 5). Проценты подлежат начислению по день фактической уплаты долга (п. 3 ст. 395 ГК РФ).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[Вариант при договорной неустойке: заменить абзац о ст. 395 на требование неустойки по п. {{ПУНКТ_ДОГОВОРА_О_НЕУСТОЙКЕ}} Договора со ссылкой на ст. 330 ГК РФ и приложить расчёт неустойки. Одновременное заявление неустойки и процентов за одно нарушение — п. 4 ст. 395 ГК РФ, согласовать с юристом.]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Соблюдение досудебного порядка.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Претензия исх.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{{ИСХОДЯЩИЙ_НОМЕР}}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{{ДАТА_ПРЕТЕНЗИИ}}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направлена Ответчику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{{ДАТА_ОТПРАВКИ_ПРЕТЕНЗИИ}}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(опись вложения, почтовый идентификатор — Приложение № 6). Срок ответа (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{{СРОК_ОТВЕТА_НА_ПРЕТЕНЗИЮ}}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истёк, требования не удовлетворены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[/оставлены без ответа]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Досудебный порядок, установленный ч. 5 ст. 4 АПК РФ, соблюдён.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Подсудность.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Спор подсуден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{{НАИМЕНОВАНИЕ_АРБИТРАЖНОГО_СУДА}}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[вариант 1]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 месту нахождения Ответчика (ст. 35 АПК РФ);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[вариант 2]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 соответствии с п.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{{ПУНКТ_ДОГОВОРА_О_ПОДСУДНОСТИ}}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Договора (ст. 37 АПК РФ).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Примирение и обеспечительные меры.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Действия, направленные на примирение: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[вариант 1]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сторонами предпринимались —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[указать какие и когда]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[вариант 2]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сторонами не предпринимались. (По п. 8.1 ч. 2 ст. 125 АПК РФ сведения указываются, если такие действия предпринимались; вариант 2 оставляют, чтобы у суда не осталось вопроса. Оставьте один вариант.)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Меры по обеспечению имущественных интересов до предъявления иска: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[вариант 1]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принимались — определение суда прилагается;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[вариант 2]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не принимались (п. 9 ч. 2 ст. 125 АПК РФ). Оставьте один вариант.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изложенного, руководствуясь ст. 309, 310, 395, 711, 746, 753 ГК РФ, ст. 4, 27, 35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[/37]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110, 125, 126 АПК РФ,</w:t>
      </w:r>
    </w:p>
    <w:p>
      <w:pPr>
        <w:spacing w:after="20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ПРОШУ: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Взыскать с Ответчика в пользу Истца задолженность по Договору в размере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{{СУММА_ДОЛГА}}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Взыскать с Ответчика проценты по ст. 395 ГК РФ в размере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{{СУММА_ПРОЦЕНТОВ}}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 состоянию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с последующим начислением по день фактической уплаты долга.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Взыскать с Ответчика расходы по уплате государственной пошлины в размере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{{РАЗМЕР_ГОСПОШЛИНЫ}}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(ст. 110 АПК РФ).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Приложения (состав — по ст. 126 АПК РФ, сверить с действующей редакцией):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Уведомление о вручении или иные документы, подтверждающие направление копии искового заявления Ответчику.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Документ об уплате государственной пошлины.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Копия Договора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 приложениями.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Копии акта КС-2 и справки КС-3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[реестр актов при множественности]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Расчёт взыскиваемой суммы (долг и проценты), подписанный Истцом.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Копия претензии и доказательства её направления.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Выписка из ЕГРЮЛ или ЕГРИП в отношении Истца и Ответчика, полученная не ранее срока, установленного п. 9 ч. 1 ст. 126 АПК РФ до дня подачи иска.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Доверенность или иные документы, подтверждающие полномочия на подписание искового заявления, а также копия документа о высшем юридическом образовании (учёной степени по юридической специальности) представителя, подписавшего заявление, либо документа, удостоверяющего его статус адвоката, патентного поверенного, арбитражного управляющего; при подписании единоличным органом управления — документ, удостоверяющий его статус (п. 5 ч. 1 ст. 126 АПК РФ).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[Акт сверки, платёжные поручения о частичной оплате — при наличии.]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[Копия свидетельства о государственной регистрации Истца либо лист записи ЕГРЮЛ — по желанию. Пункт 4 ч. 1 ст. 126 АПК РФ, который требовал этот документ, утратил силу: в обязательный перечень он больше не входит.]</w:t>
      </w:r>
    </w:p>
    <w:p>
      <w:pPr>
        <w:spacing w:after="20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{{ДОЛЖНОСТЬ_ПОДПИСАНТА}}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{{ОСНОВАНИЕ_ПОЛНОМОЧИЙ}}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 /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{{ФИО_ПОДПИСАНТА}}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/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Как заполнять и подавать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Госпошлина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Размер — по ст. 333.21 Налогового кодекса РФ от цены иска. Числа в шаблоне нет намеренно: ставки пошлины менялись, и зашитая цифра рано или поздно станет неверной. Считайте калькулятором на сайте арбитражного суда или в системе «Мой арбитр» на дату подачи — по памяти не пишите.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Цена иска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Цена иска — это долг плюс проценты (или неустойка) на дату подачи. Требование о начислении «по день фактической уплаты» цену иска на дату подачи не увеличивает, но проценты на дату подачи пересчитать обязательно: расчёт, сделанный к претензии месяц назад, уже неверен.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Подача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Электронно через «Мой арбитр» (my.arbitr.ru) — тогда документы прикрепляются файлами. Либо на бумаге. Копию иска Ответчику истец направляет сам до подачи, заказным письмом с уведомлением; квитанция становится Приложением № 1.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Что проверить перед отправкой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Скобок «{{» в документе не осталось.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Выбран один вариант там, где их было два: подсудность, проценты или неустойка.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Проценты пересчитаны на дату подачи, а не на дату претензии.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Выписки ЕГРЮЛ или ЕГРИП получены в срок, установленный п. 9 ч. 1 ст. 126 АПК РФ.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2026-08-16T07:33:15.283Z</dcterms:created>
  <dcterms:modified xsi:type="dcterms:W3CDTF">2026-08-16T07:33:15.283Z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