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00" w:before="240"/>
      </w:pPr>
      <w:r>
        <w:rPr>
          <w:rFonts w:ascii="Arial" w:cs="Times New Roman" w:eastAsia="Times New Roman" w:hAnsi="Arial"/>
          <w:b/>
          <w:bCs/>
          <w:color w:val="AE8031"/>
          <w:sz w:val="34"/>
          <w:szCs w:val="32"/>
        </w:rPr>
        <w:t xml:space="preserve">Словарь полей документов</w:t>
      </w:r>
    </w:p>
    <w:p>
      <w:pPr>
        <w:spacing w:after="60" w:line="276"/>
      </w:pPr>
      <w:r>
        <w:rPr>
          <w:rFonts w:ascii="Arial" w:cs="Times New Roman" w:eastAsia="Times New Roman" w:hAnsi="Arial"/>
          <w:i/>
          <w:iCs/>
          <w:color w:val="262F37"/>
          <w:sz w:val="21"/>
          <w:szCs w:val="24"/>
        </w:rPr>
        <w:t xml:space="preserve">Словарь подстановок для файлов 11–16 комплекта. Реквизиты форм 01–05 заполняйте по их подписям полей.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{{ИМЯ_ПОЛЯ}}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 Одно имя поля сохраняет один смысл во всех документах. Общие реквизиты сторон и договора можно переносить; дату документа, текущий долг, проценты или неустойку, число дней просрочки, цену иска и пошлину проверяйте и обновляйте на дату каждого нового документа.</w:t>
      </w:r>
    </w:p>
    <w:p>
      <w:pPr>
        <w:pStyle w:val="Heading2"/>
        <w:keepNext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Главное правило</w:t>
      </w:r>
    </w:p>
    <w:p>
      <w:pPr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Перед направлением найдите все незаполненные поля, включая обозначения «{{...}}». Внесите сведения из подтверждающих документов, удалите неприменимые варианты и проверьте согласованность реквизитов, дат и сумм.</w:t>
      </w:r>
    </w:p>
    <w:p>
      <w:pPr>
        <w:pStyle w:val="Heading2"/>
        <w:keepNext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Стороны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  <w:cantSplit/>
        </w:trPr>
        <w:tc>
          <w:tcPr>
            <w:tcW w:type="dxa" w:w="29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Поле</w:t>
            </w:r>
          </w:p>
        </w:tc>
        <w:tc>
          <w:tcPr>
            <w:tcW w:type="dxa" w:w="3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Откуда брать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учредительные документы, выписка ЕГРЮЛ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{{ИНН_ПОДРЯДЧИКА}}</w:t>
            </w: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{{ОГРН_ПОДРЯДЧИКА}}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выписка ЕГРЮЛ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выписка ЕГРЮЛ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{{КОНТАКТЫ_ПОДРЯДЧИКА}}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ваши рабочие контакты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справка банка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договор и актуальная выписка ЕГРЮЛ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{{ИНН_ЗАКАЗЧИКА}}</w:t>
            </w: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{{ОГРН_ЗАКАЗЧИКА}}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ИНН и ОГРН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выписка ЕГРЮЛ; для иска к организации ИНН и ОГРН обязательны (п. 3 ч. 2 ст. 125 АПК РФ). Если должник — индивидуальный предприниматель, тот же пункт требует иного состава сведений: сверьтесь с ним по действующей редакции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>Актуальная выписка ЕГРЮЛ. Для приложения к иску проверьте дату получения выписки по пункту 9 части 1 статьи 126 АПК РФ в редакции, действующей на дату обращения в суд.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{{ДОЛЖНОСТЬ_ПОДПИСАНТА}}</w:t>
            </w: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устав, доверенность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устав, доверенность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Договор и объект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  <w:cantSplit/>
        </w:trPr>
        <w:tc>
          <w:tcPr>
            <w:tcW w:type="dxa" w:w="29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Поле</w:t>
            </w:r>
          </w:p>
        </w:tc>
        <w:tc>
          <w:tcPr>
            <w:tcW w:type="dxa" w:w="3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Откуда брать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{{НОМЕР_ДОГОВОРА}}</w:t>
            </w: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титульный лист договора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{{ПРЕДМЕТ_ДОГОВОРА}}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Краткое описание работ по договору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раздел «Предмет договора»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договор, проектная документация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{{ПУНКТ_ДОГОВОРА_ОБ_ОПЛАТЕ}}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Номер пункта о порядке и сроке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{{СРОК_ОПЛАТЫ_ПО_ДОГОВОРУ}}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Срок оплаты дословно, как в договоре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договора; если срок не установлен — см. раздел «Если договор не устанавливает срок оплаты» в претензии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{{ПУНКТ_ДОГОВОРА_О_НЕУСТОЙКЕ}}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Пункт о неустойке за просрочку оплаты,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{{ПУНКТ_ДОГОВОРА_О_ПРЕТЕНЗИОННОМ_ПОРЯДКЕ}}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Пункт о досудебном порядке и сроке ответа на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{{ПУНКТ_ДОГОВОРА_О_ПОДСУДНОСТИ}}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Пункт о договорной подсудности,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Акты и долг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  <w:cantSplit/>
        </w:trPr>
        <w:tc>
          <w:tcPr>
            <w:tcW w:type="dxa" w:w="29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Поле</w:t>
            </w:r>
          </w:p>
        </w:tc>
        <w:tc>
          <w:tcPr>
            <w:tcW w:type="dxa" w:w="3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Откуда брать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{{НОМЕР_КС2}}</w:t>
            </w: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{{ДАТА_КС2}}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Реквизиты акта о приёмке выполненных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подписанный акт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{{НОМЕР_КС3}}</w:t>
            </w: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{{ДАТА_КС3}}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Реквизиты справки о стоимости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подписанная справка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{{СУММА_ПО_АКТУ}}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Стоимость работ по акту: цифрами и прописью, с указанием НДС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КС-2 и КС-3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{{СУММА_ДОЛГА}}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Неоплаченный остаток за вычетом авансов и частичных оплат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акты сверки, банковские выписки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{{ДАТА_НАЧАЛА_ПРОСРОЧКИ}}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Первый день просрочки: день, следующий за последним днём срока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Определите событие, от которого договор исчисляет срок оплаты. Различайте дату составления и дату подписания акта. Рассчитайте срок с учётом статей 191 и 193 ГК РФ; первый день просрочки следует за последним днём срока оплаты.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{{ЧИСЛО_ДНЕЙ_ПРОСРОЧКИ}}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Дней просрочки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файл расчёта процентов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Проценты и суд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  <w:cantSplit/>
        </w:trPr>
        <w:tc>
          <w:tcPr>
            <w:tcW w:type="dxa" w:w="29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Поле</w:t>
            </w:r>
          </w:p>
        </w:tc>
        <w:tc>
          <w:tcPr>
            <w:tcW w:type="dxa" w:w="3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7"/>
                <w:szCs w:val="22"/>
              </w:rPr>
              <w:t xml:space="preserve">Откуда брать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{{КЛЮЧЕВАЯ_СТАВКА_ЦБ}}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Ключевая ставка Банка России, действовавшая в соответствующие периоды просрочки: если ставка менялась, просрочка разбивается на периоды и к каждому применяется своя ставка (п. 1 ст. 395 ГК РФ)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сайт Банка России cbr.ru, раздел «Ключевая ставка»; внесите значение для каждого периода просрочки на дату расчёта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{{СУММА_ПРОЦЕНТОВ}}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Проценты по ст. 395 ГК РФ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файл расчёта процентов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Укажите срок ответа по договору. При отсутствии договорного срока определите срок исполнения требования в претензии. Отдельно рассчитайте срок ожидания перед подачей иска по части 5 статьи 4 АПК РФ, применимому закону и договору. Зафиксируйте основания, даты направления, начала и окончания каждого срока.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договор. По закону или договору проверьте основание, длительность, порядок исчисления, начало и окончание ожидания до подачи иска; подавайте иск после его истечения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{{СРОК_ИСПОЛНЕНИЯ_ТРЕБОВАНИЯ}}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Дата исполнения требования об оплате и предоставлении ответа, указанная в уведомлении. Сопоставьте её с договором и применимым досудебным порядком.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ваше решение; законом не регулируется. Срок ожидания перед иском он не сокращает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Арбитражный суд по подсудности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договор (ст. 37 АПК РФ) либо суд по адресу ответчика (ст. 35 АПК РФ)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{{ЦЕНА_ИСКА}}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Долг плюс проценты (или неустойка) на дату подачи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Расчёт выбранной санкции на дату подачи: для процентов — файл 14, для договорной неустойки — отдельный расчёт по условиям договора; файл 14 не используется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{{РАЗМЕР_ГОСПОШЛИНЫ}}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Госпошлина от цены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Статья 333.21 НК РФ и калькулятор на официальном сайте арбитражного суда. Сохраните расчёт государственной пошлины на дату подачи иска.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{{ИСХОДЯЩИЙ_НОМЕР}}</w:t>
            </w: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делопроизводство организации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{{ДАТА_ПРЕТЕНЗИИ}}</w:t>
            </w: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{{ДАТА_ОТПРАВКИ_ПРЕТЕНЗИИ}}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Дата претензии и дата её фактического направления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опись вложения, трек-номер отправления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7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На какой день просрочки вы отправляете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7"/>
                <w:szCs w:val="22"/>
              </w:rPr>
              <w:t xml:space="preserve">Внутренняя контрольная дата, установленная ответственным лицом. Сопоставьте её с договорными и процессуальными сроками.</w:t>
            </w:r>
          </w:p>
        </w:tc>
      </w:tr>
    </w:tbl>
    <w:p>
      <w:pPr>
        <w:pStyle w:val="Heading1"/>
        <w:keepNext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32"/>
        </w:rPr>
        <w:t xml:space="preserve">Актуальные ставки и сроки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Таблица связывает каждое переменное значение с источником: договором, подтверждающими документами, действующей нормой или калькулятором суда.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На дату составления документа проверьте ключевую ставку Банка России, применимые сроки и размер государственной пошлины по указанным источникам. Сохраните исходные данные вместе с расчётом.</w:t>
      </w:r>
    </w:p>
    <w:p>
      <w:pPr>
        <w:pStyle w:val="Heading2"/>
        <w:keepNext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Порядок работы с комплектом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Общие реквизиты выпишите один раз; перед каждым новым документом обновите даты и изменяющиеся суммы по подтверждающим документам и расчёту выбранной санкции.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Для процентов используйте файл 14: он даст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{{СУММА_ПРОЦЕНТОВ}}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и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{{ЧИСЛО_ДНЕЙ_ПРОСРОЧКИ}}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 Для неустойки подготовьте отдельный расчёт по договору; файл 14 для неё не используется.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Подставьте значения в нужный документ, удалите пояснения в квадратных скобках, выберите один вариант там, где их два.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Проверьте поиском, что символов «{{» не осталось.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Отправьте так, как описано в разделе «Отправка» соответствующего документа.</w:t>
      </w:r>
    </w:p>
    <w:p>
      <w:pPr>
        <w:keepNext/>
        <w:spacing w:after="100" w:line="252" w:lineRule="auto"/>
      </w:pPr>
      <w:r>
        <w:rPr>
          <w:rFonts w:ascii="Arial" w:hAnsi="Arial"/>
          <w:b/>
          <w:color w:val="8E6F32"/>
          <w:sz w:val="20"/>
        </w:rPr>
        <w:t>Проценты или договорная неустойка</w:t>
      </w:r>
    </w:p>
    <w:p>
      <w:pPr>
        <w:spacing w:after="100" w:line="252" w:lineRule="auto"/>
      </w:pPr>
      <w:r>
        <w:rPr>
          <w:rFonts w:ascii="Arial" w:hAnsi="Arial"/>
          <w:color w:val="34383B"/>
          <w:sz w:val="20"/>
        </w:rPr>
        <w:t>Для требования договорной неустойки вместо процентов по статье 395 ГК РФ согласованно измените в файле 16 название, правовое основание, расчёт, цену иска, просительную часть и перечень приложений. Проверьте пункт 4 статьи 395 ГК РФ. Файл 14 предназначен для процентов по статье 395 ГК РФ; расчёт договорной неустойки составьте отдельно по условиям договора.</w:t>
      </w:r>
    </w:p>
    <w:p>
      <w:pPr>
        <w:keepNext/>
        <w:spacing w:after="100" w:line="252" w:lineRule="auto"/>
      </w:pPr>
      <w:r>
        <w:rPr>
          <w:rFonts w:ascii="Arial" w:hAnsi="Arial"/>
          <w:b/>
          <w:color w:val="8E6F32"/>
          <w:sz w:val="20"/>
        </w:rPr>
        <w:t>Реквизиты индивидуального предпринимателя</w:t>
      </w:r>
    </w:p>
    <w:p>
      <w:pPr>
        <w:spacing w:after="100" w:line="252" w:lineRule="auto"/>
      </w:pPr>
      <w:r>
        <w:rPr>
          <w:rFonts w:ascii="Arial" w:hAnsi="Arial"/>
          <w:color w:val="34383B"/>
          <w:sz w:val="20"/>
        </w:rPr>
        <w:t>Если Истец — индивидуальный предприниматель, вместо наименования и адреса указываются фамилия, имя, отчество (при наличии), дата и место рождения, место жительства или место пребывания, дата и место государственной регистрации в качестве индивидуального предпринимателя, один из идентификаторов (СНИЛС, ИНН, серия и номер документа, удостоверяющего личность, серия и номер водительского удостоверения), а также номера телефонов, факсов, адреса электронной почты — п. 2 ч. 2 ст. 125 АПК РФ.</w:t>
      </w:r>
    </w:p>
    <w:p>
      <w:pPr>
        <w:spacing w:after="100" w:line="252" w:lineRule="auto"/>
      </w:pPr>
      <w:r>
        <w:rPr>
          <w:rFonts w:ascii="Arial" w:hAnsi="Arial"/>
          <w:color w:val="34383B"/>
          <w:sz w:val="20"/>
        </w:rPr>
        <w:t>Если Ответчик — индивидуальный предприниматель: фамилия, имя, отчество (при наличии), дата и место рождения, место жительства или место пребывания, место работы (если известно) и один из идентификаторов (СНИЛС, ИНН, серия и номер документа, удостоверяющего личность, ОГРНИП, серия и номер водительского удостоверения) — п. 3 ч. 2 ст. 125 АПК РФ.</w:t>
      </w:r>
    </w:p>
    <w:p>
      <w:pPr>
        <w:spacing w:after="100" w:line="252" w:lineRule="auto"/>
      </w:pPr>
      <w:r>
        <w:rPr>
          <w:rFonts w:ascii="Arial" w:hAnsi="Arial"/>
          <w:color w:val="34383B"/>
          <w:sz w:val="20"/>
        </w:rPr>
        <w:t>Перед подачей иска проверьте применимый досудебный порядок, даты направления и истечения срока ожидания. Срок ответа, назначенный в претензии, учитывайте отдельно от срока ожидания перед обращением в суд. Сведения и утверждения иска должны соответствовать обстоятельствам и подтверждающим документам.</w:t>
      </w:r>
    </w:p>
    <w:sectPr>
      <w:headerReference w:type="default" r:id="rId8"/>
      <w:footerReference w:type="default" r:id="rId9"/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Arial" w:hAnsi="Arial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4383B"/>
    </w:rPr>
  </w:style>
  <w:style w:type="paragraph" w:styleId="Heading5">
    <w:name w:val="Heading 5"/>
    <w:basedOn w:val="Normal"/>
    <w:next w:val="Normal"/>
    <w:qFormat/>
    <w:rPr>
      <w:rFonts w:ascii="Arial" w:hAnsi="Arial"/>
      <w:color w:val="34383B"/>
    </w:rPr>
  </w:style>
  <w:style w:type="paragraph" w:styleId="Heading6">
    <w:name w:val="Heading 6"/>
    <w:basedOn w:val="Normal"/>
    <w:next w:val="Normal"/>
    <w:qFormat/>
    <w:rPr>
      <w:rFonts w:ascii="Arial" w:hAnsi="Arial"/>
      <w:color w:val="34383B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2026-10-08T17:02:01.792Z</dcterms:created>
  <dcterms:modified xsi:type="dcterms:W3CDTF">2026-10-08T17:02:01.792Z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