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2B3239"/>
        </w:rPr>
        <w:t>ПРИЛОЖЕНИЕ № 4 К ДОГОВОРУ № {{...}} ОТ {{...}}</w:t>
      </w:r>
    </w:p>
    <w:p>
      <w:r>
        <w:rPr>
          <w:b w:val="0"/>
          <w:color w:val="2B3239"/>
        </w:rPr>
        <w:t>ПОРЯДОК СДАЧИ И ПРИЁМКИ РАБОТ</w:t>
      </w:r>
    </w:p>
    <w:p>
      <w:r>
        <w:rPr>
          <w:b w:val="0"/>
          <w:color w:val="2B3239"/>
        </w:rPr>
        <w:t>1. Субподрядчик направляет уведомление о готовности результата (этапа) не позднее {{...}} рабочих дней до предложенной даты осмотра. В уведомлении указывает объект, участок, этап, период, объём, дату и место осмотра, контактное лицо.</w:t>
      </w:r>
    </w:p>
    <w:p>
      <w:r>
        <w:rPr>
          <w:b w:val="0"/>
          <w:color w:val="2B3239"/>
        </w:rPr>
        <w:t>2. Вместе с уведомлением передаются акт сдачи, расчёт стоимости, опись исполнительной документации и документы по согласованному перечню {{ПРОЕКТ, АКТЫ, СХЕМЫ, ЖУРНАЛЫ}}. Стороны проверяют фактическую доставку и полномочия получателя. Недостающие позиции указываются поимённо.</w:t>
      </w:r>
    </w:p>
    <w:p>
      <w:r>
        <w:rPr>
          <w:b w:val="0"/>
          <w:color w:val="2B3239"/>
        </w:rPr>
        <w:t>3. Генподрядчик приступает к приёмке после получения уведомления и проводит осмотр с Субподрядчиком {{ДАТА, МЕСТО}}. В течение {{...}} рабочих дней направляет подписанный акт либо мотивированный ответ по каждой спорной позиции: участок, объём, проектное/договорное основание, недостаток, подтверждение и требуемое действие.</w:t>
      </w:r>
    </w:p>
    <w:p>
      <w:r>
        <w:rPr>
          <w:b w:val="0"/>
          <w:color w:val="2B3239"/>
        </w:rPr>
        <w:t>4. Стороны оформляют согласованный объём отдельным актом; оплата этой части производится по договору. Для спорных позиций фиксируют совместный осмотр, результаты измерений, сроки исправления и повторное предъявление. Отказ другой стороны от подписи отражают в акте; правовые последствия определяются ст. 753 ГК РФ.</w:t>
      </w:r>
    </w:p>
    <w:p>
      <w:r>
        <w:rPr>
          <w:b w:val="0"/>
          <w:color w:val="2B3239"/>
        </w:rPr>
        <w:t>5. Исправленный результат предъявляется уведомлением с перечнем изменений и доказательствами. Повторная проверка проводится в течение {{...}} рабочих дней. Неполучение ответа фиксируется подтверждениями направления и получения; дальнейшие действия определяются договором и законом.</w:t>
      </w:r>
    </w:p>
    <w:p>
      <w:r>
        <w:rPr>
          <w:b w:val="0"/>
          <w:color w:val="2B3239"/>
        </w:rPr>
        <w:t>6. Канал направления {{...}}, адреса {{...}}, технические идентификаторы ЭДО {{...}}. Опись и подтверждения доставки хранятся с актами. Изменение данного порядка оформляется письменным соглашением.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