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22"/>
        </w:rPr>
        <w:t>ДОПОЛНИТЕЛЬНОЕ СОГЛАШЕНИЕ № {{...}} ОБ ИЗМЕНЕНИИ СРОКОВ</w:t>
      </w:r>
    </w:p>
    <w:p>
      <w:r>
        <w:rPr>
          <w:b w:val="0"/>
          <w:color w:val="2B3239"/>
        </w:rPr>
        <w:t>к договору № {{...}} от {{...}}; {{МЕСТО}}, {{ДАТА}}.</w:t>
      </w:r>
    </w:p>
    <w:p>
      <w:r>
        <w:rPr>
          <w:b w:val="0"/>
          <w:color w:val="2B3239"/>
        </w:rPr>
        <w:t>{{ГЕНПОДРЯДЧИК, ПРЕДСТАВИТЕЛЬ, ОСНОВАНИЕ ПОЛНОМОЧИЙ}} и {{СУБПОДРЯДЧИК, ПРЕДСТАВИТЕЛЬ, ОСНОВАНИЕ ПОЛНОМОЧИЙ}} согласовали:</w:t>
      </w:r>
    </w:p>
    <w:p>
      <w:r>
        <w:rPr>
          <w:b w:val="0"/>
          <w:color w:val="2B3239"/>
        </w:rPr>
        <w:t>1. Событие {{ОПИСАНИЕ, НАЧАЛО И КОНЕЦ}}, затронутые работы {{...}}; подтверждения: уведомление № {{...}}, акт № {{...}}, журнал {{...}}.</w:t>
      </w:r>
    </w:p>
    <w:p>
      <w:r>
        <w:rPr>
          <w:b w:val="0"/>
          <w:color w:val="2B3239"/>
        </w:rPr>
        <w:t>2. Даты этапов {{НОМЕРА И СТАРЫЕ/НОВЫЕ ДАТЫ}}; дата окончания всех работ {{...}}. Обновлённое Приложение № 2 от {{...}} заменяет предыдущее с даты подписания.</w:t>
      </w:r>
    </w:p>
    <w:p>
      <w:r>
        <w:rPr>
          <w:b w:val="0"/>
          <w:color w:val="2B3239"/>
        </w:rPr>
        <w:t>3. Расходы и цена {{НЕ МЕНЯЮТСЯ / ПОРЯДОК РАСЧЁТА И ДОПОЛНИТЕЛЬНОЕ СОГЛАШЕНИЕ}}; условия простоя {{...}}. Изменение сроков не подтверждает объём или стоимость новых работ без отдельного основания.</w:t>
      </w:r>
    </w:p>
    <w:p>
      <w:r>
        <w:rPr>
          <w:b w:val="0"/>
          <w:color w:val="2B3239"/>
        </w:rPr>
        <w:t>4. Стороны согласовали порядок возобновления работ {{...}}; остальные условия действуют в согласованной редакции.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