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E8031"/>
          <w:sz w:val="32"/>
        </w:rPr>
        <w:t>Порядок действий при банкротстве генподрядчика</w:t>
      </w:r>
    </w:p>
    <w:p>
      <w:r>
        <w:rPr>
          <w:b/>
          <w:color w:val="AE8031"/>
          <w:sz w:val="22"/>
        </w:rPr>
        <w:t>Обнаружение дела</w:t>
      </w:r>
    </w:p>
    <w:p>
      <w:r>
        <w:t>1. Сверьте ИНН должника в ЕФРСБ, карточке арбитражного дела и официальной публикации. Запишите номер дела, судебный акт, введённую процедуру, дату и источник публикации.</w:t>
      </w:r>
    </w:p>
    <w:p>
      <w:r>
        <w:t>2. В реестре 04 заполните дату принятия заявления о банкротстве и документы по каждому этапу. Проверьте договор, акты, передачу, платежи и остаток долга.</w:t>
      </w:r>
    </w:p>
    <w:p>
      <w:r>
        <w:rPr>
          <w:b/>
          <w:color w:val="AE8031"/>
          <w:sz w:val="22"/>
        </w:rPr>
        <w:t>Разграничение требований</w:t>
      </w:r>
    </w:p>
    <w:p>
      <w:r>
        <w:t>3. Отделите обязательства по периодам возникновения и оцените признаки текущих платежей по ст. 5 Закона № 127-ФЗ. Дата акта сама по себе не определяет квалификацию.</w:t>
      </w:r>
    </w:p>
    <w:p>
      <w:r>
        <w:t>4. Для реестрового требования проверьте применимую процедуру и срок заявления по ст. 71, 100 или 142 Закона № 127-ФЗ в актуальной редакции; отсчёт и исключения подтвердите по судебному акту и публикации. Поставьте контрольную дату раньше предельной.</w:t>
      </w:r>
    </w:p>
    <w:p>
      <w:r>
        <w:t>5. Подготовьте перечень 05 и заявление 08 с расчётом отдельно по основному долгу и санкциям. Проверьте полномочия, адресатов, форму подачи и направление копий.</w:t>
      </w:r>
    </w:p>
    <w:p>
      <w:r>
        <w:rPr>
          <w:b/>
          <w:color w:val="AE8031"/>
          <w:sz w:val="22"/>
        </w:rPr>
        <w:t>Переписка и контроль</w:t>
      </w:r>
    </w:p>
    <w:p>
      <w:r>
        <w:t>6. Для получения сведений и сверки расчётов направьте уведомление 06 и запрос 07 управляющему. Требование об установлении задолженности предъявите в суд в порядке, применимом к соответствующей категории требования.</w:t>
      </w:r>
    </w:p>
    <w:p>
      <w:r>
        <w:t>7. После подачи отслеживайте движение своего требования и судебные акты. При пропуске предполагаемого срока пройдите проверку 09 без промедления.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AE8031"/>
        <w:sz w:val="16"/>
      </w:rPr>
      <w:t>НА СТОРОНЕ ПОДРЯДЧИКА  /  P9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B32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