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Зимние затраты и временные здания и сооружения</w:t>
      </w:r>
    </w:p>
    <w:p>
      <w:pPr>
        <w:pStyle w:val="Heading1"/>
      </w:pPr>
      <w:r>
        <w:t>Зимние затраты</w:t>
      </w:r>
    </w:p>
    <w:p>
      <w:r>
        <w:t>Сопоставьте график работ, местоположение объекта, технологию и применяемый способ расчёта зимних затрат. Проверьте состав начисления и отдельно предусмотренные мероприятия, чтобы не включить один расход дважды.</w:t>
      </w:r>
    </w:p>
    <w:p>
      <w:r>
        <w:t>• Период и способ расчёта: какие работы и календарные условия учтены; применяются ли усреднённые нормы или расчёт отдельных мероприятий.</w:t>
      </w:r>
    </w:p>
    <w:p>
      <w:r>
        <w:t>• Технологические мероприятия: обогрев, тепляки, прогрев конструкций, дополнительные ресурсы и эксплуатация техники; какие из них уже учтены в расценках или начислениях.</w:t>
      </w:r>
    </w:p>
    <w:p>
      <w:r>
        <w:t>• Площадка: кто обеспечивает тепло, электроэнергию, уборку снега и доступ, каким документом определены объём, учёт и оплата.</w:t>
      </w:r>
    </w:p>
    <w:p>
      <w:r>
        <w:t>• Изменение графика: кто инициирует перенос и как стороны рассматривают связанные расходы. До подписания внесите в договор событие, срок уведомления, расчёт и документ согласования.</w:t>
      </w:r>
    </w:p>
    <w:p>
      <w:r>
        <w:t>Сдвиг работ в зимний период требует проверки условий договора и применяемого расчёта. Изменение графика само по себе не устанавливает дополнительную цену: подготовьте уведомление и согласуйте основание и сумму в установленном порядке.</w:t>
      </w:r>
    </w:p>
    <w:p>
      <w:pPr>
        <w:pStyle w:val="Heading1"/>
      </w:pPr>
      <w:r>
        <w:t>Временные здания и сооружения</w:t>
      </w:r>
    </w:p>
    <w:p>
      <w:r>
        <w:t>Составьте перечень необходимых бытовых, складских, сетевых и транспортных решений по проекту организации строительства и условиям площадки. Разделите титульные общеплощадочные объекты, нетитульные объекты и специальные вспомогательные сооружения. Проверьте, где учтены устройство, содержание и ликвидация каждого элемента.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Что согласовать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Какие сведения закрепить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Предоставление Заказчиком или генподрядчиком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Перечень, количество, состояние, доступность, период и стоимость использования.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Расходы Подрядчика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Что он создаёт или арендует сам, расходы на содержание, подключения и потребление ресурсов.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Продление и завершение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Дополнительный период использования, демонтаж, вывоз, восстановление территории и плательщик.</w:t>
            </w:r>
          </w:p>
        </w:tc>
      </w:tr>
    </w:tbl>
    <w:p>
      <w:pPr>
        <w:pStyle w:val="Heading1"/>
      </w:pPr>
      <w:r>
        <w:t>Результат проверки</w:t>
      </w:r>
    </w:p>
    <w:p>
      <w:r>
        <w:t>По каждой позиции зафиксируйте стоимость уже учтённой части, непокрытый остаток и документ о распределении обязанностей. Уточнения перенесите в запрос 64; согласованные условия — в протокол 65 и договор.</w:t>
      </w:r>
    </w:p>
    <w:p>
      <w:r>
        <w:t>Для нормативного расчёта временных объектов проверьте применимость Методики Минстроя России № 332/пр и состава накладных расходов по Методике № 812/пр в применимых редакциях.</w:t>
      </w:r>
    </w:p>
    <w:sectPr w:rsidR="00FC693F" w:rsidRPr="0006063C" w:rsidSect="00034616">
      <w:pgSz w:w="11906" w:h="16838"/>
      <w:pgMar w:top="907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3035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0353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035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303539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