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Накладные расходы и сметная прибыль</w:t>
      </w:r>
    </w:p>
    <w:p>
      <w:r>
        <w:t>Проверьте, какие затраты уже покрыты расценками, стоимостью ресурсов и начислениями. В реестр включайте оценку только непокрытой части, чтобы сохранить плановую прибыль и исключить повторное начисление.</w:t>
      </w:r>
    </w:p>
    <w:p>
      <w:pPr>
        <w:pStyle w:val="Heading1"/>
      </w:pPr>
      <w:r>
        <w:t>Порядок определения покрытия</w:t>
      </w:r>
    </w:p>
    <w:p>
      <w:r>
        <w:t>1. Зафиксируйте применяемый способ определения цены, сметную базу, редакцию методик и уровень цен. При обязательном применении сметных нормативов проверьте их применимость к объекту и дате расчёта. Для согласуемой коммерческой цены закрепите метод расчёта в договоре с учётом обязательных требований.</w:t>
      </w:r>
    </w:p>
    <w:p>
      <w:r>
        <w:t>2. По каждой позиции определите базу, норматив и коэффициенты начисления накладных расходов и сметной прибыли. Сверьте вид работ, объём Исполнителя и обоснование коэффициентов.</w:t>
      </w:r>
    </w:p>
    <w:p>
      <w:r>
        <w:t>3. Проверьте состав учтённых затрат. Часть подготовительных операций, инвентаря, содержания площадки и нетитульных временных сооружений может учитываться в расценках или накладных расходах. Отсутствие отдельной строки требует проверки состава, а не автоматического добавления стоимости.</w:t>
      </w:r>
    </w:p>
    <w:p>
      <w:pPr>
        <w:pStyle w:val="Heading1"/>
      </w:pPr>
      <w:r>
        <w:t>Рабочая таблица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Группа затрат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Что подтвердить до включения в запрос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Отходы и уборка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Разделите уборку, перемещение, погрузку, перевозку и размещение. Проверьте состав расценок и накладных расходов по каждой операции.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Временные здания и сооружения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Разделите титульные, нетитульные и специальные вспомогательные решения. Проверьте способ учёта и распределение между сторонами.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Доставка и подъём материалов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Сверьте цену ресурса, точку поставки, расстояние, разгрузку, внутриплощадочное перемещение и работу механизмов.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Испытания и геодезия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Установите предусмотренный проектом объём, состав расценок, необходимые услуги и подтверждённого плательщика.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Страхование и услуги генподряда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Проверьте вид расхода, основание, базу, размер и влияние на сумму, фактически остающуюся Подрядчику.</w:t>
            </w:r>
          </w:p>
        </w:tc>
      </w:tr>
    </w:tbl>
    <w:p>
      <w:pPr>
        <w:pStyle w:val="Heading1"/>
      </w:pPr>
      <w:r>
        <w:t>Сметная и плановая прибыль</w:t>
      </w:r>
    </w:p>
    <w:p>
      <w:r>
        <w:t>Сметная прибыль — начисление в составе сметного расчёта по применяемой методике. Плановая прибыль компании по объекту определяется её собственным расчётом доходов и расходов. Для оценки риска в реестре указывайте плановую прибыль; сметное начисление не подставляйте вместо неё без экономического обоснования.</w:t>
      </w:r>
    </w:p>
    <w:p>
      <w:pPr>
        <w:pStyle w:val="Heading1"/>
      </w:pPr>
      <w:r>
        <w:t>Документирование результата</w:t>
      </w:r>
    </w:p>
    <w:p>
      <w:r>
        <w:t>Для статуса «покрыто, проверено» укажите позицию, раздел методики или состав начисления и сумму покрытия. При частичном покрытии оцените остаток. Если данных нет, запросите расчёт; сохраняйте статус неопределённости до получения ответа.</w:t>
      </w:r>
    </w:p>
    <w:p>
      <w:r>
        <w:t>Основания проверки: методики Минстроя России № 812/пр и № 774/пр в применимой редакции, сведения ФРСН, смета и договор. Применяемые величины и источники фиксируйте в материалах расчёта.</w:t>
      </w:r>
    </w:p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