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ПРОВЕРОЧНЫЙ ЛИСТ: Комплект КС перед передачей заказчику</w:t>
      </w:r>
    </w:p>
    <w:p/>
    <w:p>
      <w:pPr>
        <w:pStyle w:val="Heading1"/>
      </w:pPr>
      <w:r>
        <w:t>Раздел 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Параметр</w:t>
            </w:r>
          </w:p>
        </w:tc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</w:tr>
      <w:tr>
        <w:tc>
          <w:tcPr>
            <w:tcW w:type="dxa" w:w="2880"/>
          </w:tcPr>
          <w:p>
            <w:r>
              <w:t>Номер договора подряда</w:t>
            </w:r>
          </w:p>
        </w:tc>
        <w:tc>
          <w:tcPr>
            <w:tcW w:type="dxa" w:w="2880"/>
          </w:tcPr>
          <w:p>
            <w:r>
              <w:t>Совпадает с КС-2?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Наименование объекта</w:t>
            </w:r>
          </w:p>
        </w:tc>
        <w:tc>
          <w:tcPr>
            <w:tcW w:type="dxa" w:w="2880"/>
          </w:tcPr>
          <w:p>
            <w:r>
              <w:t>Точное совпадение с проектом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Наименование застройщика / заказчика</w:t>
            </w:r>
          </w:p>
        </w:tc>
        <w:tc>
          <w:tcPr>
            <w:tcW w:type="dxa" w:w="2880"/>
          </w:tcPr>
          <w:p>
            <w:r>
              <w:t>Юридически точное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Наименование подрядчика</w:t>
            </w:r>
          </w:p>
        </w:tc>
        <w:tc>
          <w:tcPr>
            <w:tcW w:type="dxa" w:w="2880"/>
          </w:tcPr>
          <w:p>
            <w:r>
              <w:t>Юридически точное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Срок выполнения работ по договору</w:t>
            </w:r>
          </w:p>
        </w:tc>
        <w:tc>
          <w:tcPr>
            <w:tcW w:type="dxa" w:w="2880"/>
          </w:tcPr>
          <w:p>
            <w:r>
              <w:t>Не просрочен?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2. КС-2 (форма по ОКУД 0322001)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Пункт проверки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</w:tr>
      <w:tr>
        <w:tc>
          <w:tcPr>
            <w:tcW w:type="dxa" w:w="2880"/>
          </w:tcPr>
          <w:p>
            <w:r>
              <w:t>2.1</w:t>
            </w:r>
          </w:p>
        </w:tc>
        <w:tc>
          <w:tcPr>
            <w:tcW w:type="dxa" w:w="2880"/>
          </w:tcPr>
          <w:p>
            <w:r>
              <w:t>Номер КС-2 соответствует журналу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Дата составления КС-2 заполнена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Период выполнения работ указан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2.4</w:t>
            </w:r>
          </w:p>
        </w:tc>
        <w:tc>
          <w:tcPr>
            <w:tcW w:type="dxa" w:w="2880"/>
          </w:tcPr>
          <w:p>
            <w:r>
              <w:t>Сумма работ рассчитана по смете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Подписи подрядчика (руководитель, бухгалтер)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2.6</w:t>
            </w:r>
          </w:p>
        </w:tc>
        <w:tc>
          <w:tcPr>
            <w:tcW w:type="dxa" w:w="2880"/>
          </w:tcPr>
          <w:p>
            <w:r>
              <w:t>Печать подрядчика (если предусмотрена договором)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2.7</w:t>
            </w:r>
          </w:p>
        </w:tc>
        <w:tc>
          <w:tcPr>
            <w:tcW w:type="dxa" w:w="2880"/>
          </w:tcPr>
          <w:p>
            <w:r>
              <w:t>Все приложения перечислены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3. КС-3 (форма по ОКУД 0322002)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Пункт проверки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</w:tr>
      <w:tr>
        <w:tc>
          <w:tcPr>
            <w:tcW w:type="dxa" w:w="2880"/>
          </w:tcPr>
          <w:p>
            <w:r>
              <w:t>3.1</w:t>
            </w:r>
          </w:p>
        </w:tc>
        <w:tc>
          <w:tcPr>
            <w:tcW w:type="dxa" w:w="2880"/>
          </w:tcPr>
          <w:p>
            <w:r>
              <w:t>Номер КС-3 соответствует КС-2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Сумма по КС-3 = сумме по КС-2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Расчет по формулам верен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3.4</w:t>
            </w:r>
          </w:p>
        </w:tc>
        <w:tc>
          <w:tcPr>
            <w:tcW w:type="dxa" w:w="2880"/>
          </w:tcPr>
          <w:p>
            <w:r>
              <w:t>Подписи обеих сторон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4. Обязательные 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Документ</w:t>
            </w:r>
          </w:p>
        </w:tc>
        <w:tc>
          <w:tcPr>
            <w:tcW w:type="dxa" w:w="2160"/>
          </w:tcPr>
          <w:p>
            <w:r>
              <w:t>Наличие</w:t>
            </w:r>
          </w:p>
        </w:tc>
        <w:tc>
          <w:tcPr>
            <w:tcW w:type="dxa" w:w="2160"/>
          </w:tcPr>
          <w:p>
            <w:r>
              <w:t>Кол-во листов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Акты скрытых работ (АОСР)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Ведомость ресурсов (КС-4)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Журнал учета выполненных работ (КС-6)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Исполнительные схемы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Сертификаты на материалы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4.6</w:t>
            </w:r>
          </w:p>
        </w:tc>
        <w:tc>
          <w:tcPr>
            <w:tcW w:type="dxa" w:w="2160"/>
          </w:tcPr>
          <w:p>
            <w:r>
              <w:t>Паспорта на изделия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5. Частые причины возврата (проверьте еще раз)</w:t>
      </w:r>
    </w:p>
    <w:p>
      <w:pPr>
        <w:pStyle w:val="ListBullet"/>
      </w:pPr>
      <w:r>
        <w:t>Несоответствие наименования объекта в КС-2 и договоре</w:t>
      </w:r>
    </w:p>
    <w:p>
      <w:pPr>
        <w:pStyle w:val="ListBullet"/>
      </w:pPr>
      <w:r>
        <w:t>Пропуск номеров КС-2 (нарушение нумерации)</w:t>
      </w:r>
    </w:p>
    <w:p>
      <w:pPr>
        <w:pStyle w:val="ListBullet"/>
      </w:pPr>
      <w:r>
        <w:t>Неправильная дата периода (например, 31 февраля)</w:t>
      </w:r>
    </w:p>
    <w:p>
      <w:pPr>
        <w:pStyle w:val="ListBullet"/>
      </w:pPr>
      <w:r>
        <w:t>Расхождение сумм КС-2 и КС-3</w:t>
      </w:r>
    </w:p>
    <w:p>
      <w:pPr>
        <w:pStyle w:val="ListBullet"/>
      </w:pPr>
      <w:r>
        <w:t>Отсутствие подписи бухгалтера на КС-3</w:t>
      </w:r>
    </w:p>
    <w:p>
      <w:pPr>
        <w:pStyle w:val="ListBullet"/>
      </w:pPr>
      <w:r>
        <w:t>Не приложены акты скрытых работ к КС-2</w:t>
      </w:r>
    </w:p>
    <w:p>
      <w:pPr>
        <w:pStyle w:val="ListBullet"/>
      </w:pPr>
      <w:r>
        <w:t>Просроченные сертификаты на материалы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Проверка на соответствие ГОСТ, СНиП, СП (требует технического эксперта)</w:t>
      </w:r>
    </w:p>
    <w:p>
      <w:pPr>
        <w:pStyle w:val="ListBullet"/>
      </w:pPr>
      <w:r>
        <w:t>Согласование исполнительных схем с проектной документацией</w:t>
      </w:r>
    </w:p>
    <w:p>
      <w:pPr>
        <w:pStyle w:val="ListBullet"/>
      </w:pPr>
      <w:r>
        <w:t>Работа с замечаниями заказчика после возврата КС</w:t>
      </w:r>
    </w:p>
    <w:p>
      <w:pPr>
        <w:pStyle w:val="ListBullet"/>
      </w:pPr>
      <w:r>
        <w:t>Ведение полного журнала передачи комплекта КС</w:t>
      </w:r>
    </w:p>
    <w:p>
      <w:pPr>
        <w:pStyle w:val="ListBullet"/>
      </w:pPr>
      <w:r>
        <w:t>Юридическая экспертиза договора на предмет формы КС</w:t>
      </w:r>
    </w:p>
    <w:p>
      <w:pPr>
        <w:pStyle w:val="Heading1"/>
      </w:pPr>
      <w:r>
        <w:t>🔗 Переход к полному комплекту</w:t>
      </w:r>
    </w:p>
    <w:p>
      <w:r>
        <w:t>Комплект «КС-2 без возврата: сдайте с первой попытки» включает: расширенный проверочный лист с автоматическими проверками, шаблоны протоколов внутренней проверки, типовые ответы на замечания, журнал передачи с отслеживанием статуса.</w:t>
        <w:br/>
        <w:br/>
        <w:t>Стоимость: 1 990 ₽</w:t>
        <w:br/>
        <w:t>Страница комплекта: https://marzhavbetone.ru/products/p3-shablony-ks2-ks3.html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