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jc w:val="left"/>
      </w:pPr>
      <w:r>
        <w:rPr>
          <w:rFonts w:ascii="Arial" w:hAnsi="Arial"/>
          <w:color w:val="000000"/>
        </w:rPr>
        <w:t>Проверка условий гарантийного удержания</w:t>
      </w:r>
    </w:p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Как пользоваться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Выпишите условия договора дословно: основание и размер удержания, событие возврата, срок после него и порядок требования. Для каждого пункта отметьте «есть», «нет» или «не требуется» с объяснением. Отсутствие ответа означает вопрос для проверки и согласования, а не автоматическую незаконность условия. После подписания сверьте наступление события и документы, затем заполните реестр 02 и письмо 04.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Раздел 0. 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649"/>
        <w:gridCol w:w="5046"/>
      </w:tblGrid>
      <w:tr>
        <w:trPr>
          <w:cantSplit/>
          <w:tblHeader/>
        </w:trPr>
        <w:tc>
          <w:tcPr>
            <w:tcW w:type="dxa" w:w="4649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Параметр</w:t>
            </w:r>
          </w:p>
        </w:tc>
        <w:tc>
          <w:tcPr>
            <w:tcW w:type="dxa" w:w="5046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Значение (заполните)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Договор № / дата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Объект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Вторая сторона (заказчик / генподрядчик)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Пункт договора об удержании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Смежные пункты (гарантия, приёмка, зачёт, расторжение)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Кто проверял / дата проверки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</w:tbl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Раздел 1. Основание удержания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Определите правовую природу суммы по всему договору. Удержанная часть цены, штраф и обеспечительный платёж имеют разные основания и порядок возврата. Одного названия пункта недостаточно. Сопоставьте условия оплаты, гарантии и обеспечения по ст. 421, 431 и 746 ГК РФ.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52"/>
        <w:gridCol w:w="4535"/>
        <w:gridCol w:w="3373"/>
        <w:gridCol w:w="1134"/>
      </w:tblGrid>
      <w:tr>
        <w:trPr>
          <w:cantSplit/>
          <w:tblHeader/>
        </w:trPr>
        <w:tc>
          <w:tcPr>
            <w:tcW w:type="dxa" w:w="652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№</w:t>
            </w:r>
          </w:p>
        </w:tc>
        <w:tc>
          <w:tcPr>
            <w:tcW w:type="dxa" w:w="4535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Вопрос к договору</w:t>
            </w:r>
          </w:p>
        </w:tc>
        <w:tc>
          <w:tcPr>
            <w:tcW w:type="dxa" w:w="3373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Как в договоре</w:t>
            </w:r>
          </w:p>
        </w:tc>
        <w:tc>
          <w:tcPr>
            <w:tcW w:type="dxa" w:w="113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Отметка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1.1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Пункт прямо называет сумму удержанием (обеспечением), а не скидкой и не штрафом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1.2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Сказано, что удержанная сумма подлежит возврату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1.3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Названо, что именно обеспечивает удержание (устранение недостатков, иное)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1.4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Проверены совокупный размер и назначение всех обеспечений по одному обязательству. Их совместное применение не запрещено автоматически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1.5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Указана возможность заменить удержание другим обеспечением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</w:tbl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Раздел 2. Размер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Размер вы видите сразу, и поэтому на нём чаще всего останавливаются. Значение само по себе ничего не говорит: считать надо не долю от стоимости работ, а долю от вашей прибыли по этому объекту.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52"/>
        <w:gridCol w:w="4535"/>
        <w:gridCol w:w="3373"/>
        <w:gridCol w:w="1134"/>
      </w:tblGrid>
      <w:tr>
        <w:trPr>
          <w:cantSplit/>
          <w:tblHeader/>
        </w:trPr>
        <w:tc>
          <w:tcPr>
            <w:tcW w:type="dxa" w:w="652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№</w:t>
            </w:r>
          </w:p>
        </w:tc>
        <w:tc>
          <w:tcPr>
            <w:tcW w:type="dxa" w:w="4535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Вопрос к договору</w:t>
            </w:r>
          </w:p>
        </w:tc>
        <w:tc>
          <w:tcPr>
            <w:tcW w:type="dxa" w:w="3373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Как в договоре</w:t>
            </w:r>
          </w:p>
        </w:tc>
        <w:tc>
          <w:tcPr>
            <w:tcW w:type="dxa" w:w="113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Отметка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2.1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Установлены размер либо порядок его определения, включая значение формулировок «до» и «не более»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2.2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Проверены основания и пределы одностороннего изменения размера, если оно предусмотрено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2.3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Названа предельная накопленная сумма удержания по договору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2.4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Проверено влияние изменения объёма и сроков на размер удержания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</w:tbl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Проверка размера через вашу экономику</w:t>
      </w:r>
    </w:p>
    <w:p>
      <w:pPr>
        <w:keepNext w:val="0"/>
        <w:keepLines/>
        <w:widowControl/>
      </w:pPr>
      <w:r>
        <w:t>Заполните поля и сравните. Формул здесь нет — считаете вы, по своим цифрам.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649"/>
        <w:gridCol w:w="5046"/>
      </w:tblGrid>
      <w:tr>
        <w:trPr>
          <w:cantSplit/>
          <w:tblHeader/>
        </w:trPr>
        <w:tc>
          <w:tcPr>
            <w:tcW w:type="dxa" w:w="4649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Что посчитать</w:t>
            </w:r>
          </w:p>
        </w:tc>
        <w:tc>
          <w:tcPr>
            <w:tcW w:type="dxa" w:w="5046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Ваше значение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Сумма, удерживаемая с одного платежа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Число платежей до конца объекта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Итого удержание за объект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Планируемая прибыль по объекту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Удержание сопоставимо с прибылью? (да / нет)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Чем замещается замороженная сумма (кредит, овердрафт, отказ от объекта)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</w:tbl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Раздел 3. Из чего удерживают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База начисления — второй по частоте предмет спора после события возврата. Одна и та же доля от разных баз даёт разные деньги.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52"/>
        <w:gridCol w:w="4535"/>
        <w:gridCol w:w="3373"/>
        <w:gridCol w:w="1134"/>
      </w:tblGrid>
      <w:tr>
        <w:trPr>
          <w:cantSplit/>
          <w:tblHeader/>
        </w:trPr>
        <w:tc>
          <w:tcPr>
            <w:tcW w:type="dxa" w:w="652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№</w:t>
            </w:r>
          </w:p>
        </w:tc>
        <w:tc>
          <w:tcPr>
            <w:tcW w:type="dxa" w:w="4535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Вопрос к договору</w:t>
            </w:r>
          </w:p>
        </w:tc>
        <w:tc>
          <w:tcPr>
            <w:tcW w:type="dxa" w:w="3373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Как в договоре</w:t>
            </w:r>
          </w:p>
        </w:tc>
        <w:tc>
          <w:tcPr>
            <w:tcW w:type="dxa" w:w="113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Отметка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3.1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Названа база: стоимость работ по акту, стоимость по договору или иная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3.2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Сказано, считается база с налогом или без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3.3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Названо, с каких платежей удерживается: со всех, только с промежуточных или только с окончательного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3.4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Сказано, удерживается ли из аванса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3.5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Сказано, удерживается ли из стоимости дополнительных работ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3.6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Сказано, отражается ли удержание отдельной строкой в акте или расчётном документе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</w:tbl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Раздел 4. Срок и событие возврата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Разделите событие, срок после него и дополнительное условие о получении требования. Подтвердите дату события документами. Привязка к вводу объекта или действиям другой стороны не означает сама по себе недействительность условия: ст. 327.1 допускает обусловленное исполнение. Практический риск — неопределённость даты и доступности доказательств. Срок и способ получения сведений следует согласовать до подписи.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Четыре типовых события возврата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61"/>
        <w:gridCol w:w="1814"/>
        <w:gridCol w:w="3685"/>
        <w:gridCol w:w="1134"/>
      </w:tblGrid>
      <w:tr>
        <w:trPr>
          <w:cantSplit/>
          <w:tblHeader/>
        </w:trPr>
        <w:tc>
          <w:tcPr>
            <w:tcW w:type="dxa" w:w="3061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Событие в договоре</w:t>
            </w:r>
          </w:p>
        </w:tc>
        <w:tc>
          <w:tcPr>
            <w:tcW w:type="dxa" w:w="181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Кто им управляет</w:t>
            </w:r>
          </w:p>
        </w:tc>
        <w:tc>
          <w:tcPr>
            <w:tcW w:type="dxa" w:w="3685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Что это значит для вас</w:t>
            </w:r>
          </w:p>
        </w:tc>
        <w:tc>
          <w:tcPr>
            <w:tcW w:type="dxa" w:w="113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Отметка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Подписание последнего акта по вашему договору</w:t>
            </w:r>
          </w:p>
        </w:tc>
        <w:tc>
          <w:tcPr>
            <w:tcW w:type="dxa" w:w="18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Вы и вторая сторона</w:t>
            </w:r>
          </w:p>
        </w:tc>
        <w:tc>
          <w:tcPr>
            <w:tcW w:type="dxa" w:w="36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Дата известна и подтверждается вашим же документом</w:t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Истечение гарантийного периода на ваши работы</w:t>
            </w:r>
          </w:p>
        </w:tc>
        <w:tc>
          <w:tcPr>
            <w:tcW w:type="dxa" w:w="181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Договор</w:t>
            </w:r>
          </w:p>
        </w:tc>
        <w:tc>
          <w:tcPr>
            <w:tcW w:type="dxa" w:w="368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Рабочий вариант, если в договоре названа точка отсчёта периода</w:t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Устранение всех замечаний по объекту</w:t>
            </w:r>
          </w:p>
        </w:tc>
        <w:tc>
          <w:tcPr>
            <w:tcW w:type="dxa" w:w="18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Вторая сторона</w:t>
            </w:r>
          </w:p>
        </w:tc>
        <w:tc>
          <w:tcPr>
            <w:tcW w:type="dxa" w:w="36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Проверьте, какие замечания и к чьим работам препятствуют возврату по договору; получите подтверждения по своему объёму</w:t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Ввод объекта в эксплуатацию либо итоговый акт между второй стороной и её заказчиком</w:t>
            </w:r>
          </w:p>
        </w:tc>
        <w:tc>
          <w:tcPr>
            <w:tcW w:type="dxa" w:w="181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Третьи лица</w:t>
            </w:r>
          </w:p>
        </w:tc>
        <w:tc>
          <w:tcPr>
            <w:tcW w:type="dxa" w:w="368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Проверьте доступ к сведениям о событии, порядок уведомления и предельную дату. Отсутствие вашего участия не исключает доказательств</w:t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</w:tbl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Вопросы к пункту о возврате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52"/>
        <w:gridCol w:w="4535"/>
        <w:gridCol w:w="3373"/>
        <w:gridCol w:w="1134"/>
      </w:tblGrid>
      <w:tr>
        <w:trPr>
          <w:cantSplit/>
          <w:tblHeader/>
        </w:trPr>
        <w:tc>
          <w:tcPr>
            <w:tcW w:type="dxa" w:w="652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№</w:t>
            </w:r>
          </w:p>
        </w:tc>
        <w:tc>
          <w:tcPr>
            <w:tcW w:type="dxa" w:w="4535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Вопрос к договору</w:t>
            </w:r>
          </w:p>
        </w:tc>
        <w:tc>
          <w:tcPr>
            <w:tcW w:type="dxa" w:w="3373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Как в договоре</w:t>
            </w:r>
          </w:p>
        </w:tc>
        <w:tc>
          <w:tcPr>
            <w:tcW w:type="dxa" w:w="113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Отметка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4.1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Событие возврата названо и допускает одно прочтение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4.2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Названа точка отсчёта гарантийного периода (от какой даты и какого документа)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4.3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Событие подтверждается документом, который есть или будет у вас на руках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4.4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Срок возврата после события указан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4.5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Возврат производится автоматически, а не только по вашему письменному требованию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4.6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Если возврат по требованию — названы форма требования, адрес и срок ответа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4.7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Вторая сторона обязана письменно уведомить вас о наступлении события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4.8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Есть предельный срок возврата независимо от наступления события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4.9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Предусмотрен поэтапный возврат (часть — по окончании ваших работ)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4.10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Замечания, блокирующие возврат, сужены до замечаний к вашим работам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4.11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Проверены основание процентов или неустойки, первый день просрочки и периоды ставок. Санкции считаются отдельно от основного остатка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</w:tbl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Заполните дату, которую сможете обосновать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649"/>
        <w:gridCol w:w="5046"/>
      </w:tblGrid>
      <w:tr>
        <w:trPr>
          <w:cantSplit/>
          <w:tblHeader/>
        </w:trPr>
        <w:tc>
          <w:tcPr>
            <w:tcW w:type="dxa" w:w="4649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Что заполнить</w:t>
            </w:r>
          </w:p>
        </w:tc>
        <w:tc>
          <w:tcPr>
            <w:tcW w:type="dxa" w:w="5046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Ваше значение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Событие возврата по договору (дословно)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Документ, которым подтверждается наступление события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Документ есть у вас на руках или будет? (да / нет)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Расчётная дата наступления события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Расчётная дата возврата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Требование обязательно? (да / нет)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</w:tbl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Раздел 5. Порядок зачёта: что может быть удержано из удержания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Отличайте денежный возврат, заявленное списание в одностороннем порядке и прекращение обязательства зачётом. Для зачёта проверяются требования ст. 410, ограничения ст. 411, договор и доставка заявления. Спорный размер не принимайте автоматически. Признанное иное погашение учитывайте в реестре отдельно от денежных возвратов.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52"/>
        <w:gridCol w:w="4535"/>
        <w:gridCol w:w="3373"/>
        <w:gridCol w:w="1134"/>
      </w:tblGrid>
      <w:tr>
        <w:trPr>
          <w:cantSplit/>
          <w:tblHeader/>
        </w:trPr>
        <w:tc>
          <w:tcPr>
            <w:tcW w:type="dxa" w:w="652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№</w:t>
            </w:r>
          </w:p>
        </w:tc>
        <w:tc>
          <w:tcPr>
            <w:tcW w:type="dxa" w:w="4535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Вопрос к договору</w:t>
            </w:r>
          </w:p>
        </w:tc>
        <w:tc>
          <w:tcPr>
            <w:tcW w:type="dxa" w:w="3373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Как в договоре</w:t>
            </w:r>
          </w:p>
        </w:tc>
        <w:tc>
          <w:tcPr>
            <w:tcW w:type="dxa" w:w="113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Отметка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5.1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Перечень оснований для удержания из удержания закрытый, без «и иные»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5.2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Недостаток фиксируется актом с вашим участием, а не односторонне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5.3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Названы порядок вызова вас на фиксацию и срок, в течение которого вы отвечаете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5.4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Стоимость устранения определяется согласованным способом, а не оценкой второй стороны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5.5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Вам предоставлено право устранить недостаток самостоятельно до привлечения третьих лиц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5.6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Зачёт оформляется уведомлением, которое направляется вам письменно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5.7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Проверены ограничения зачёта штрафов по другим обязательствам по закону и договору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5.8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Проверены условия зачёта требований из других договоров; автоматического общего запрета не предполагается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</w:tbl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Раздел 6. Что происходит при расторжении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Проверьте условия возврата и сохраняющиеся гарантийные обязанности при прекращении договора. Если специального условия нет, нельзя автоматически считать сумму потерянной или немедленно подлежащей возврату. Нужны толкование договора, сведения о принятом объёме и расчёт непогашенной суммы.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52"/>
        <w:gridCol w:w="4535"/>
        <w:gridCol w:w="3373"/>
        <w:gridCol w:w="1134"/>
      </w:tblGrid>
      <w:tr>
        <w:trPr>
          <w:cantSplit/>
          <w:tblHeader/>
        </w:trPr>
        <w:tc>
          <w:tcPr>
            <w:tcW w:type="dxa" w:w="652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№</w:t>
            </w:r>
          </w:p>
        </w:tc>
        <w:tc>
          <w:tcPr>
            <w:tcW w:type="dxa" w:w="4535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Вопрос к договору</w:t>
            </w:r>
          </w:p>
        </w:tc>
        <w:tc>
          <w:tcPr>
            <w:tcW w:type="dxa" w:w="3373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Как в договоре</w:t>
            </w:r>
          </w:p>
        </w:tc>
        <w:tc>
          <w:tcPr>
            <w:tcW w:type="dxa" w:w="113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Отметка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6.1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Названо, что происходит с удержанием при расторжении по соглашению сторон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6.2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Названо, что происходит при отказе второй стороны от договора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6.3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Названо, что происходит при вашем отказе от договора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6.4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Определено событие возврата на случай, когда работы не завершены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6.5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Названа судьба удержания при приостановке работ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6.6</w:t>
            </w:r>
          </w:p>
        </w:tc>
        <w:tc>
          <w:tcPr>
            <w:tcW w:type="dxa" w:w="4535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Названа судьба удержания при передаче договора другому лицу</w:t>
            </w:r>
          </w:p>
        </w:tc>
        <w:tc>
          <w:tcPr>
            <w:tcW w:type="dxa" w:w="3373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6.7</w:t>
            </w:r>
          </w:p>
        </w:tc>
        <w:tc>
          <w:tcPr>
            <w:tcW w:type="dxa" w:w="45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Гарантийные обязательства на принятую часть работ отделены от незавершённой</w:t>
            </w:r>
          </w:p>
        </w:tc>
        <w:tc>
          <w:tcPr>
            <w:tcW w:type="dxa" w:w="33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[ ]</w:t>
            </w:r>
          </w:p>
        </w:tc>
      </w:tr>
    </w:tbl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Раздел 7. Итог проверки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Лист пройден. Ответьте на три вопроса — они и есть результат.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649"/>
        <w:gridCol w:w="5046"/>
      </w:tblGrid>
      <w:tr>
        <w:trPr>
          <w:cantSplit/>
          <w:tblHeader/>
        </w:trPr>
        <w:tc>
          <w:tcPr>
            <w:tcW w:type="dxa" w:w="4649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Вопрос</w:t>
            </w:r>
          </w:p>
        </w:tc>
        <w:tc>
          <w:tcPr>
            <w:tcW w:type="dxa" w:w="5046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Ответ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Можете ли вы назвать дату возврата и документ, который её подтверждает?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Есть ли в пункте основание, по которому сумму могут не вернуть без вашего участия?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Наступит ли событие возврата, если договор будет расторгнут досрочно?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Пункты, которые выносятся в протокол разногласий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Дата, к которой нужен ответ второй стороны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</w:tbl>
    <w:p>
      <w:pPr>
        <w:keepNext w:val="0"/>
        <w:keepLines/>
        <w:widowControl/>
      </w:pP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Пустые клетки образуют перечень вопросов. Условия автоматического возврата, уведомления о событии, предельной даты и ограничения списаний ниже — предмет согласования, если закон или действующий договор не устанавливают их прямо. После подписи такие условия нельзя считать уже включёнными в договор.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Когда требуется разбор ситуации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Юрист нужен, когда условие о возврате стороны читают по-разному, когда вторая сторона заявила встречное требование, когда спор идёт о качестве работ или когда в отношении второй стороны начата процедура банкротства.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Поддержка и полный комплект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Вопросы: nastoronepodryadchika@yandex.ru. Полный комплект по удержаниям и списаниям: https://nastoronepodryadchika.ru/products/p5-shtrafy-uderzhaniya.html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Как подтвердить право на возврат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Соберите договор и изменения, акты и расчёт удержанной части, документ о событии возврата, сведения о гарантийном периоде и относящихся к возврату замечаниях. При условии о требовании сохраните его содержание, приложения и подтверждение доставки. Отправка и получение — разные факты; учитывайте ст. 165.1. Отсутствие одной квитанции не исключает иных допустимых подтверждений.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Вычислите крайний день по действующему условию: событие, количество и тип дней, начало периода и применимый календарь. Проверьте ст. 191 и 193. Если срок не определён, отдельно оцените ст. 314 с учётом закона и существа обязательства; семь дней не являются универсальным правилом возврата удержания.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Реестр 02 сохраняет 12 строк. На листе «Реестр удержаний» введите дату расчёта B3 и суммы по каждому акту. D — фактически удержано до возвратов, E — все подтверждённые денежные возвраты на эту дату, F — иное подтверждённое погашение, G — остаток, H — сумма к возврату после проверки условий. Если погашений точно нет, введите 0; пустая сумма не означает ноль. Одну операцию не включайте одновременно в E и F. КС-2 и накопительная КС-3 не должны повторно отражать один объём.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На листе «Условия возврата» заполните ту же строку: пункт, событие и доказательство, дату события, автоматический возврат либо возврат по требованию, доставку требования, проверенную крайнюю дату и её основание. Для возвратов укажите дату последнего денежного возврата J и подтверждения K; для иного погашения — дату M и основание K. Письма, даты направления и получения, ответы и примечания отмечайте в L. Суммы вносятся только по факту на дату расчёта.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В H не появится числовая сумма при неполных или спорных условиях. При подтверждённом ненаступившем сроке будет 0. Для первичного требования, которое по договору запускает срок, используйте проверенный остаток G и прямо укажите срок после доставки этого требования. Не называйте такую сумму уже просроченной. Полный возврат даёт остаток 0; погашения сверх удержанного требуют сверки и не маскируются нулём.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Практический пример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Условный договор: удержано 100 000 ₽; денежный возврат 20 000 ₽ подтверждён 20.10.2026; иных погашений нет. Гарантийный период по согласованному условию завершился 15.10.2026, возврат — через пять рабочих дней. При обычной пятидневке крайний день 22.10.2026. На 23.10.2026 остаток и сумма обращения — 80 000 ₽. Сумма 20 000 ₽ уже вычтена один раз. Если по другому акту 50 000 ₽ подлежат возврату только 30.10, они увеличат общий остаток, но не сумму к возврату на 23.10.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Основания для проверки</w:t>
      </w:r>
    </w:p>
    <w:p>
      <w:pPr>
        <w:keepNext w:val="0"/>
        <w:keepLines/>
        <w:widowControl/>
        <w:spacing w:after="60"/>
      </w:pPr>
      <w:hyperlink r:id="rId9">
        <w:r>
          <w:rPr>
            <w:color w:val="72552B"/>
            <w:sz w:val="19"/>
          </w:rPr>
          <w:t>ГК РФ ст. 421 — условия договора</w:t>
        </w:r>
      </w:hyperlink>
    </w:p>
    <w:p>
      <w:pPr>
        <w:keepNext w:val="0"/>
        <w:keepLines/>
        <w:widowControl/>
        <w:spacing w:after="60"/>
      </w:pPr>
      <w:hyperlink r:id="rId10">
        <w:r>
          <w:rPr>
            <w:color w:val="72552B"/>
            <w:sz w:val="19"/>
          </w:rPr>
          <w:t>ГК РФ ст. 431 — толкование договора</w:t>
        </w:r>
      </w:hyperlink>
    </w:p>
    <w:p>
      <w:pPr>
        <w:keepNext w:val="0"/>
        <w:keepLines/>
        <w:widowControl/>
        <w:spacing w:after="60"/>
      </w:pPr>
      <w:hyperlink r:id="rId11">
        <w:r>
          <w:rPr>
            <w:color w:val="72552B"/>
            <w:sz w:val="19"/>
          </w:rPr>
          <w:t>ГК РФ ст. 327.1 — условие исполнения</w:t>
        </w:r>
      </w:hyperlink>
    </w:p>
    <w:p>
      <w:pPr>
        <w:keepNext w:val="0"/>
        <w:keepLines/>
        <w:widowControl/>
        <w:spacing w:after="60"/>
      </w:pPr>
      <w:hyperlink r:id="rId12">
        <w:r>
          <w:rPr>
            <w:color w:val="72552B"/>
            <w:sz w:val="19"/>
          </w:rPr>
          <w:t>ГК РФ ст. 314 — определение срока исполнения</w:t>
        </w:r>
      </w:hyperlink>
    </w:p>
    <w:p>
      <w:pPr>
        <w:keepNext w:val="0"/>
        <w:keepLines/>
        <w:widowControl/>
        <w:spacing w:after="60"/>
      </w:pPr>
      <w:hyperlink r:id="rId13">
        <w:r>
          <w:rPr>
            <w:color w:val="72552B"/>
            <w:sz w:val="19"/>
          </w:rPr>
          <w:t>ГК РФ ст. 191 — начало срока</w:t>
        </w:r>
      </w:hyperlink>
    </w:p>
    <w:p>
      <w:pPr>
        <w:keepNext w:val="0"/>
        <w:keepLines/>
        <w:widowControl/>
        <w:spacing w:after="60"/>
      </w:pPr>
      <w:hyperlink r:id="rId14">
        <w:r>
          <w:rPr>
            <w:color w:val="72552B"/>
            <w:sz w:val="19"/>
          </w:rPr>
          <w:t>ГК РФ ст. 193 — нерабочий последний день</w:t>
        </w:r>
      </w:hyperlink>
    </w:p>
    <w:p>
      <w:pPr>
        <w:keepNext w:val="0"/>
        <w:keepLines/>
        <w:widowControl/>
        <w:spacing w:after="60"/>
      </w:pPr>
      <w:hyperlink r:id="rId15">
        <w:r>
          <w:rPr>
            <w:color w:val="72552B"/>
            <w:sz w:val="19"/>
          </w:rPr>
          <w:t>ГК РФ ст. 165.1 — доставка сообщений</w:t>
        </w:r>
      </w:hyperlink>
    </w:p>
    <w:p>
      <w:pPr>
        <w:keepNext w:val="0"/>
        <w:keepLines/>
        <w:widowControl/>
        <w:spacing w:after="60"/>
      </w:pPr>
      <w:hyperlink r:id="rId16">
        <w:r>
          <w:rPr>
            <w:color w:val="72552B"/>
            <w:sz w:val="19"/>
          </w:rPr>
          <w:t>ГК РФ ст. 410 — условия зачёта</w:t>
        </w:r>
      </w:hyperlink>
    </w:p>
    <w:p>
      <w:pPr>
        <w:keepNext w:val="0"/>
        <w:keepLines/>
        <w:widowControl/>
        <w:spacing w:after="60"/>
      </w:pPr>
      <w:hyperlink r:id="rId17">
        <w:r>
          <w:rPr>
            <w:color w:val="72552B"/>
            <w:sz w:val="19"/>
          </w:rPr>
          <w:t>ГК РФ ст. 411 — ограничения зачёта</w:t>
        </w:r>
      </w:hyperlink>
    </w:p>
    <w:p>
      <w:pPr>
        <w:keepNext w:val="0"/>
        <w:keepLines/>
        <w:widowControl/>
        <w:spacing w:after="60"/>
      </w:pPr>
      <w:hyperlink r:id="rId18">
        <w:r>
          <w:rPr>
            <w:color w:val="72552B"/>
            <w:sz w:val="19"/>
          </w:rPr>
          <w:t>ГК РФ ст. 395 — проценты и договорная неустойка</w:t>
        </w:r>
      </w:hyperlink>
    </w:p>
    <w:p>
      <w:pPr>
        <w:keepNext w:val="0"/>
        <w:keepLines/>
        <w:widowControl/>
        <w:spacing w:after="60"/>
      </w:pPr>
      <w:hyperlink r:id="rId19">
        <w:r>
          <w:rPr>
            <w:color w:val="72552B"/>
            <w:sz w:val="19"/>
          </w:rPr>
          <w:t>ГК РФ ст. 746 — оплата строительных работ</w:t>
        </w:r>
      </w:hyperlink>
    </w:p>
    <w:p>
      <w:pPr>
        <w:keepNext w:val="0"/>
        <w:keepLines/>
        <w:widowControl/>
        <w:spacing w:after="60"/>
      </w:pPr>
      <w:hyperlink r:id="rId20">
        <w:r>
          <w:rPr>
            <w:color w:val="72552B"/>
            <w:sz w:val="19"/>
          </w:rPr>
          <w:t>АПК РФ ч. 5 ст. 4 — досудебный порядок</w:t>
        </w:r>
      </w:hyperlink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Вопросы и сообщения об ошибках: nastoronepodryadchika@yandex.ru. Тема УДЕРЖАНИЕ, файл, строка или поле. Приведите обезличенный пример и ожидаемый результат.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100"/>
    </w:pPr>
    <w:rPr>
      <w:rFonts w:ascii="Arial" w:hAnsi="Arial"/>
      <w:color w:val="25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5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5" w:lineRule="auto" w:after="100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5" w:lineRule="auto" w:after="100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5142/ad08909251f4d26ebc935648e4e708a31e160348/" TargetMode="External"/><Relationship Id="rId10" Type="http://schemas.openxmlformats.org/officeDocument/2006/relationships/hyperlink" Target="https://www.consultant.ru/document/cons_doc_LAW_5142/44e7bdf9e5f734faf41d0ac516872d11b0b52366/" TargetMode="External"/><Relationship Id="rId11" Type="http://schemas.openxmlformats.org/officeDocument/2006/relationships/hyperlink" Target="https://www.consultant.ru/document/cons_doc_LAW_5142/e3361788dae66ff36dddf6d8d07ce518d1f097f0/" TargetMode="External"/><Relationship Id="rId12" Type="http://schemas.openxmlformats.org/officeDocument/2006/relationships/hyperlink" Target="https://www.consultant.ru/document/cons_doc_LAW_5142/3a7d3c1ca588deb50bc9bc8bde5576afc732f9a2/" TargetMode="External"/><Relationship Id="rId13" Type="http://schemas.openxmlformats.org/officeDocument/2006/relationships/hyperlink" Target="https://www.consultant.ru/document/cons_doc_LAW_5142/60f6af8755cda8e568604f21cd44e823c3407d8f/" TargetMode="External"/><Relationship Id="rId14" Type="http://schemas.openxmlformats.org/officeDocument/2006/relationships/hyperlink" Target="https://www.consultant.ru/document/cons_doc_LAW_5142/8aaa310a192d916fce0327f6226a59ffe5b49b9b/" TargetMode="External"/><Relationship Id="rId15" Type="http://schemas.openxmlformats.org/officeDocument/2006/relationships/hyperlink" Target="https://www.consultant.ru/document/cons_doc_LAW_5142/1996a193f316d0ef7da6d50cf44745feeda864f1/" TargetMode="External"/><Relationship Id="rId16" Type="http://schemas.openxmlformats.org/officeDocument/2006/relationships/hyperlink" Target="https://www.consultant.ru/document/cons_doc_LAW_5142/ce09e59d11f3a60c30a1601c0f6c7cceb9835dfa/" TargetMode="External"/><Relationship Id="rId17" Type="http://schemas.openxmlformats.org/officeDocument/2006/relationships/hyperlink" Target="https://www.consultant.ru/document/cons_doc_LAW_5142/8b64baebe684327db892d518687befdccd241cc8/" TargetMode="External"/><Relationship Id="rId18" Type="http://schemas.openxmlformats.org/officeDocument/2006/relationships/hyperlink" Target="https://www.consultant.ru/document/cons_doc_LAW_5142/93383099dc4f06165d8d4aac4eeb159db4f6da3d/" TargetMode="External"/><Relationship Id="rId19" Type="http://schemas.openxmlformats.org/officeDocument/2006/relationships/hyperlink" Target="https://www.consultant.ru/document/cons_doc_LAW_9027/213b00ab7366c34225e24be2f360912884de054e/" TargetMode="External"/><Relationship Id="rId20" Type="http://schemas.openxmlformats.org/officeDocument/2006/relationships/hyperlink" Target="https://www.consultant.ru/document/cons_doc_LAW_37800/4d77fceae32b76a1cc26db3a1c64857d59045fd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