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jc w:val="left"/>
      </w:pPr>
      <w:r>
        <w:rPr>
          <w:rFonts w:ascii="Arial" w:hAnsi="Arial"/>
          <w:color w:val="000000"/>
        </w:rPr>
        <w:t>Проверка формулировок о гарантийном удержании</w:t>
      </w:r>
    </w:p>
    <w:p>
      <w:pPr>
        <w:keepNext w:val="0"/>
        <w:keepLines/>
        <w:widowControl/>
      </w:pP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Как читать этот файл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Ниже — формулировки, которые встречаются в пунктах о гарантийном удержании и выглядят нейтрально. Каждая разобрана одинаково: что написано, чем это опасно, что просить вместо и что сделать, если договор уже подписан.</w:t>
        <w:br/>
        <w:br/>
        <w:t>Значений — доли, сроков, ставок — в примерах нет: они у каждого договора свои, и опасность создаёт не значение, а конструкция.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Универсальная проверка любой формулировки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Назовите событие и порядок определения крайней даты возврата. Если дата ещё неизвестна, укажите причину и способ её подтверждения.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Назовите документ, которым подтвердите наступление события.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Скажите, окажется ли этот документ у вас на руках.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Скажите, что произойдёт, если договор расторгнут раньше события.</w:t>
      </w:r>
    </w:p>
    <w:p>
      <w:pPr>
        <w:pStyle w:val="ListNumber"/>
        <w:keepNext w:val="0"/>
        <w:keepLines/>
        <w:widowControl/>
      </w:pPr>
      <w:r>
        <w:rPr>
          <w:rFonts w:ascii="Arial" w:hAnsi="Arial"/>
          <w:color w:val="252A30"/>
        </w:rPr>
        <w:t>Скажите, что вторая сторона может вычесть из суммы, не спрашивая вас.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Формулировка, на которой вы споткнулись хотя бы на одном пункте, — предмет разговора до подписи, а не после.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1. «Удержание возвращается после ввода объекта в эксплуатацию»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сдача вашего участка может предшествовать вводу всего объекта. Срок зависит от финансирования, смежников и разрешений. Если порядок уведомления не согласован, сведения о вводе придётся получать отдельно. Такая привязка не недействительна автоматически; проверьте весь договор и ст. 327.1 ГК РФ.</w:t>
        <w:br/>
        <w:t>Что просить вместо: срок после приёмки ваших работ либо иной согласованный предел, а также порядок получения сведений.</w:t>
        <w:br/>
        <w:t>Если договор подписан: сохраните документы о сдаче и запросите подтверждение согласованного события; не подменяйте его собственной датой.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2. «После подписания итогового акта между генподрядчиком и заказчиком»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вы можете не участвовать в итоговом акте между другими сторонами. Получение копии и подтверждение даты затруднены, но не исключены в принципе.</w:t>
        <w:br/>
        <w:t>Что просить вместо: событие по вашему договору или обязанность предоставить подтверждение, уведомить вас и соблюдать согласованную предельную дату.</w:t>
        <w:br/>
        <w:t>Если договор подписан: запросите сведения и документ по предусмотренному каналу. Отсутствие копии требует сбора доказательств, а не автоматического отказа от требования.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3. «После устранения всех замечаний по объекту»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неясно, какие замечания и к каким работам влияют на возврат. Нельзя заранее считать любое замечание по объекту основанием удерживать всю сумму.</w:t>
        <w:br/>
        <w:t>Что просить вместо: определить относящиеся к вашему объёму недостатки, порядок фиксации и соответствующую часть обеспечения.</w:t>
        <w:br/>
        <w:t>Если договор подписан: проверьте основание задержки, суммы, документы по замечаниям и устранению. Не предполагайте ни безусловного запрета возврата, ни автоматического отсутствия основания.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4. «Удержание возвращается по письменному требованию субподрядчика»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получение требования может запускать договорный срок оплаты. Без сведений о событии и доказательств доставки нельзя уверенно назвать крайнюю дату.</w:t>
        <w:br/>
        <w:t>Что просить вместо: согласовать автоматический возврат либо форму требования, канал, срок после доставки и уведомление о событии. Это предлагаемые условия, а не уже существующая обязанность другой стороны.</w:t>
        <w:br/>
        <w:t>Если договор подписан: используйте его порядок и фиксируйте отправку и доставку. Первичное требование может запускать срок, но не подтверждает, что срок уже истёк.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5. «Генподрядчик вправе удержать стоимость устранения недостатков и иные суммы»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открытый перечень «и иные суммы» увеличивает неопределённость оснований и размера списаний. Он не разрешает любые вычеты без проверки закона и условий договора.</w:t>
        <w:br/>
        <w:t>Что просить вместо: конкретный перечень оснований, пределы сумм, подтверждающие документы и порядок уведомления.</w:t>
        <w:br/>
        <w:t>Если договор подписан: запросите основание и расчёт каждого списания. Спорную сумму не принимайте автоматически как погашение вашего требования.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6. Недостаток фиксируется односторонним актом, а стоимость устранения определяет вторая сторона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акт и стоимость формирует другая сторона, что осложняет проверку. Это не лишает вас права возражать.</w:t>
        <w:br/>
        <w:t>Что просить вместо: вызов на осмотр, возможность представить замечания и устранить недостаток, способ определения стоимости.</w:t>
        <w:br/>
        <w:t>Если договор подписан: проверьте факт, относимость к вашим работам, процедуру и размер. Молчание не означает согласия само по себе: учитываются закон и соглашение сторон, в том числе п. 3 ст. 158 ГК РФ.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7. «Генподрядчик вправе зачесть удержание против любых встречных требований»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вместо перечисления денег может поступить заявление о зачёте. Его действительность проверяется по ст. 410 и 411 ГК РФ, содержанию требований, срокам, ограничениям договора и доставке сообщения. Связь требований с разными договорами сама по себе не исключает зачёт.</w:t>
        <w:br/>
        <w:t>Что просить вместо: согласовать допустимый круг требований, порядок уведомления и подтверждения суммы.</w:t>
        <w:br/>
        <w:t>Если договор подписан: запросите основания и своевременно изложите возражения по существу. В реестре отдельно учитывайте только подтверждённое иное погашение; одну операцию не записывайте ещё и денежным возвратом.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8. Размер указан, а база начисления — нет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доля без базы не даёт суммы. От стоимости работ по акту, от стоимости по договору, с налогом или без — разные деньги при одной и той же доле. Спор о базе всплывает в момент, когда сумму нужно называть, то есть в самый неудобный.</w:t>
        <w:br/>
        <w:br/>
        <w:t>Что просить вместо: база названа явно, вместе с указанием, учитывается налог или нет, и с каких платежей удерживается.</w:t>
        <w:br/>
        <w:br/>
        <w:t>Если договор подписан: сверьте базу с бухгалтерией по первому же акту и зафиксируйте расхождение письменно, пока актов немного.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9. Гарантийный период считается от события, которого нет в вашем договоре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срок выглядит определённым, но точка отсчёта уезжает вместе с объектом. Если период считается от ввода объекта или от приёмки работ в целом, спор переносится на шаг назад — к вопросу, от какой даты вообще считать.</w:t>
        <w:br/>
        <w:br/>
        <w:t>Что просить вместо: точка отсчёта — дата документа вашего договора.</w:t>
        <w:br/>
        <w:br/>
        <w:t>Если договор подписан: соберите документы, из которых следует дата окончания ваших работ. Через несколько лет искать их будет труднее, а понадобятся они именно тогда.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Ловушка 10. О расторжении в пункте не сказано ничего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Чем опасна: условие может не объяснять возврат при досрочном прекращении. Это создаёт вопрос толкования, но не означает автоматической утраты денег или немедленного возврата всей суммы.</w:t>
        <w:br/>
        <w:t>Что просить вместо: событие и срок для прекращения договора, расчёт принятого объёма и сохраняющихся гарантий.</w:t>
        <w:br/>
        <w:t>Если договор подписан: при прекращении зафиксируйте объём, удержания, погашения и документы по качеству. При споре оцените весь договор по ст. 431 ГК РФ.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Что из этого важнее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Если время на разговор ограничено, спорить стоит не о размере, а о событии возврата. Размер вы видите сразу и можете заложить в цену. Событие определяет, увидите ли вы деньги.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Когда требуется разбор ситуации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Поддержка и полный комплект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Вопросы: nastoronepodryadchika@yandex.ru. Полный комплект: https://nastoronepodryadchika.ru/products/p5-shtrafy-uderzhaniya.html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Пример проверки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Удержано 100 000 ₽, уже возвращено 20 000 ₽. Остаток 80 000 ₽ не вычитается ещё раз на 20 000 ₽. Но сам остаток не подтверждает наступление срока: сначала проверьте событие, требование и срок по договору. Если зафиксировано ещё 10 000 ₽ иного действительного погашения, остаток будет 70 000 ₽; спорное заявление о списании не приравнивается к такому погашению автоматически.</w:t>
      </w:r>
    </w:p>
    <w:p>
      <w:pPr>
        <w:pStyle w:val="Heading1"/>
        <w:keepNext/>
        <w:keepLines/>
        <w:widowControl/>
      </w:pPr>
      <w:r>
        <w:rPr>
          <w:rFonts w:ascii="Arial" w:hAnsi="Arial"/>
          <w:color w:val="000000"/>
        </w:rPr>
        <w:t>Основания для проверки</w:t>
      </w:r>
    </w:p>
    <w:p>
      <w:pPr>
        <w:keepNext w:val="0"/>
        <w:keepLines/>
        <w:widowControl/>
        <w:spacing w:after="60"/>
      </w:pPr>
      <w:hyperlink r:id="rId9">
        <w:r>
          <w:rPr>
            <w:color w:val="72552B"/>
            <w:sz w:val="19"/>
          </w:rPr>
          <w:t>ГК РФ ст. 327.1 — условие исполнения</w:t>
        </w:r>
      </w:hyperlink>
    </w:p>
    <w:p>
      <w:pPr>
        <w:keepNext w:val="0"/>
        <w:keepLines/>
        <w:widowControl/>
        <w:spacing w:after="60"/>
      </w:pPr>
      <w:hyperlink r:id="rId10">
        <w:r>
          <w:rPr>
            <w:color w:val="72552B"/>
            <w:sz w:val="19"/>
          </w:rPr>
          <w:t>ГК РФ ст. 431 — толкование договора</w:t>
        </w:r>
      </w:hyperlink>
    </w:p>
    <w:p>
      <w:pPr>
        <w:keepNext w:val="0"/>
        <w:keepLines/>
        <w:widowControl/>
        <w:spacing w:after="60"/>
      </w:pPr>
      <w:hyperlink r:id="rId11">
        <w:r>
          <w:rPr>
            <w:color w:val="72552B"/>
            <w:sz w:val="19"/>
          </w:rPr>
          <w:t>ГК РФ ст. 314 — определение срока исполнения</w:t>
        </w:r>
      </w:hyperlink>
    </w:p>
    <w:p>
      <w:pPr>
        <w:keepNext w:val="0"/>
        <w:keepLines/>
        <w:widowControl/>
        <w:spacing w:after="60"/>
      </w:pPr>
      <w:hyperlink r:id="rId12">
        <w:r>
          <w:rPr>
            <w:color w:val="72552B"/>
            <w:sz w:val="19"/>
          </w:rPr>
          <w:t>ГК РФ ст. 410 — условия зачёта</w:t>
        </w:r>
      </w:hyperlink>
    </w:p>
    <w:p>
      <w:pPr>
        <w:keepNext w:val="0"/>
        <w:keepLines/>
        <w:widowControl/>
        <w:spacing w:after="60"/>
      </w:pPr>
      <w:hyperlink r:id="rId13">
        <w:r>
          <w:rPr>
            <w:color w:val="72552B"/>
            <w:sz w:val="19"/>
          </w:rPr>
          <w:t>ГК РФ ст. 411 — ограничения зачёта</w:t>
        </w:r>
      </w:hyperlink>
    </w:p>
    <w:p>
      <w:pPr>
        <w:keepNext w:val="0"/>
        <w:keepLines/>
        <w:widowControl/>
        <w:spacing w:after="60"/>
      </w:pPr>
      <w:hyperlink r:id="rId14">
        <w:r>
          <w:rPr>
            <w:color w:val="72552B"/>
            <w:sz w:val="19"/>
          </w:rPr>
          <w:t>ГК РФ ст. 165.1 — доставка сообщений</w:t>
        </w:r>
      </w:hyperlink>
    </w:p>
    <w:p>
      <w:pPr>
        <w:keepNext w:val="0"/>
        <w:keepLines/>
        <w:widowControl/>
        <w:spacing w:after="60"/>
      </w:pPr>
      <w:hyperlink r:id="rId15">
        <w:r>
          <w:rPr>
            <w:color w:val="72552B"/>
            <w:sz w:val="19"/>
          </w:rPr>
          <w:t>ГК РФ ст. 158 п. 3 — значение молчания</w:t>
        </w:r>
      </w:hyperlink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Вопросы и сообщения об ошибках: nastoronepodryadchika@yandex.ru. Тема УДЕРЖАНИЕ, файл, строка или поле. Приведите обезличенный пример и ожидаемый результат.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100"/>
    </w:pPr>
    <w:rPr>
      <w:rFonts w:ascii="Arial" w:hAnsi="Arial"/>
      <w:color w:val="25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5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5" w:lineRule="auto" w:after="100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5" w:lineRule="auto" w:after="100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e3361788dae66ff36dddf6d8d07ce518d1f097f0/" TargetMode="External"/><Relationship Id="rId10" Type="http://schemas.openxmlformats.org/officeDocument/2006/relationships/hyperlink" Target="https://www.consultant.ru/document/cons_doc_LAW_5142/44e7bdf9e5f734faf41d0ac516872d11b0b52366/" TargetMode="External"/><Relationship Id="rId11" Type="http://schemas.openxmlformats.org/officeDocument/2006/relationships/hyperlink" Target="https://www.consultant.ru/document/cons_doc_LAW_5142/3a7d3c1ca588deb50bc9bc8bde5576afc732f9a2/" TargetMode="External"/><Relationship Id="rId12" Type="http://schemas.openxmlformats.org/officeDocument/2006/relationships/hyperlink" Target="https://www.consultant.ru/document/cons_doc_LAW_5142/ce09e59d11f3a60c30a1601c0f6c7cceb9835dfa/" TargetMode="External"/><Relationship Id="rId13" Type="http://schemas.openxmlformats.org/officeDocument/2006/relationships/hyperlink" Target="https://www.consultant.ru/document/cons_doc_LAW_5142/8b64baebe684327db892d518687befdccd241cc8/" TargetMode="External"/><Relationship Id="rId14" Type="http://schemas.openxmlformats.org/officeDocument/2006/relationships/hyperlink" Target="https://www.consultant.ru/document/cons_doc_LAW_5142/1996a193f316d0ef7da6d50cf44745feeda864f1/" TargetMode="External"/><Relationship Id="rId15" Type="http://schemas.openxmlformats.org/officeDocument/2006/relationships/hyperlink" Target="https://www.consultant.ru/document/cons_doc_LAW_5142/82f07fd388d94f9aaadfd4ecbd4ab9254d4dddd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