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E8031"/>
          <w:sz w:val="32"/>
        </w:rPr>
        <w:t>Порядок действий при банкротстве генподрядчика</w:t>
      </w:r>
    </w:p>
    <w:p>
      <w:r>
        <w:rPr>
          <w:b/>
          <w:color w:val="AE8031"/>
          <w:sz w:val="22"/>
        </w:rPr>
        <w:t>Обнаружение дела</w:t>
      </w:r>
    </w:p>
    <w:p>
      <w:r>
        <w:t>1. Сверьте ИНН должника в ЕФРСБ, карточке арбитражного дела и официальной публикации. Запишите номер дела, судебный акт, введённую процедуру, дату и источник публикации.</w:t>
      </w:r>
    </w:p>
    <w:p>
      <w:r>
        <w:t>2. В реестре 04 заполните дату принятия заявления и документы по этапам. Основной долг рассчитайте отдельно: стоимость работ, предъявляемая по подтверждённому основанию, минус относящиеся к ней оплаты и иные подтверждённые погашения. Повторное отражение одной суммы в договоре, акте и счёте не увеличивает долг.</w:t>
      </w:r>
    </w:p>
    <w:p>
      <w:r>
        <w:rPr>
          <w:b/>
          <w:color w:val="AE8031"/>
          <w:sz w:val="22"/>
        </w:rPr>
        <w:t>Разграничение требований</w:t>
      </w:r>
    </w:p>
    <w:p>
      <w:r>
        <w:t>3. Отделите обязательства по периодам возникновения и оцените признаки текущих платежей по ст. 5 Закона № 127-ФЗ. Дата акта сама по себе не определяет квалификацию.</w:t>
      </w:r>
    </w:p>
    <w:p>
      <w:r>
        <w:t>4. Для обычного реестрового требования к юридическому лицу выберите процедуру и срок по таблице ниже. Укажите дату и источник публикации, правило исчисления и предельную дату. Два месяца считайте календарными месяцами, а не 60 днями. Внутреннюю контрольную дату назначьте раньше предельной.</w:t>
      </w:r>
    </w:p>
    <w:p>
      <w:r>
        <w:t>5. Подготовьте опись 05 и заявление 08. Основной долг и санкции покажите раздельно; текущие платежи предъявляйте по отдельному порядку. Проверьте конечную дату обычных санкций по процедуре и судебным актам; мораторные проценты учитывайте отдельно. До отправки выберите вариант госпошлины, подтвердите полномочия и направление копий.</w:t>
      </w:r>
    </w:p>
    <w:p>
      <w:r>
        <w:rPr>
          <w:b/>
          <w:color w:val="AE8031"/>
          <w:sz w:val="22"/>
        </w:rPr>
        <w:t>Переписка и контроль</w:t>
      </w:r>
    </w:p>
    <w:p>
      <w:r>
        <w:t>6. Для получения сведений и сверки расчётов направьте уведомление 06 и запрос 07 управляющему. Требование об установлении задолженности предъявите в суд в порядке, применимом к соответствующей категории требования.</w:t>
      </w:r>
    </w:p>
    <w:p>
      <w:r>
        <w:t>7. После подачи отслеживайте движение своего требования и судебные акты. При пропуске предполагаемого срока пройдите проверку 09 без промедления.</w:t>
      </w:r>
    </w:p>
    <w:p>
      <w:pPr>
        <w:keepNext/>
      </w:pPr>
      <w:r>
        <w:rPr>
          <w:b/>
          <w:sz w:val="22"/>
        </w:rPr>
        <w:t>Процедура, срок и адресаты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Процедура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Когда заявить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Куда направить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Наблюдение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30 календарных дней от публикации о введении наблюдения — для участия в первом собрании. Поздние требования рассматриваются после введения следующей процедуры (ст. 71, пп. 1, 7).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В суд электронно; копии должнику и временному управляющему.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Внешнее управление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В любой момент этой процедуры (ст. 100, п. 1).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В суд электронно и внешнему управляющему.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Конкурсное производство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Реестр закрывается через два месяца от публикации о признании банкротом и открытии конкурсного производства. При пропуске — проверка восстановления по документу 09 (ст. 142, п. 1).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В суд электронно и конкурсному управляющему по порядку ст. 100 через ст. 142.</w:t>
            </w:r>
          </w:p>
        </w:tc>
      </w:tr>
    </w:tbl>
    <w:p>
      <w:pPr>
        <w:keepNext/>
      </w:pPr>
      <w:r>
        <w:rPr>
          <w:b/>
          <w:sz w:val="22"/>
        </w:rPr>
        <w:t>Госпошлина — выберите один подтверждённый вариант</w:t>
      </w:r>
    </w:p>
    <w:p>
      <w:r>
        <w:rPr>
          <w:b w:val="0"/>
        </w:rPr>
        <w:t>Для денежного требования в существующем деле о банкротстве проверьте 50% пошлины по имущественной шкале (НК РФ, ст. 333.21, п. 1, подп. 1 и 9). Требование подтверждено вступившим в силу судебным актом — проверьте льготу по ст. 333.37, п. 1, подп. 5 и приложите акт. Также проверьте другие применимые льготы. При наличии оснований для отсрочки, рассрочки или уменьшения подайте отдельное мотивированное ходатайство с подтверждениями.</w:t>
      </w:r>
    </w:p>
    <w:p>
      <w:r>
        <w:rPr>
          <w:b w:val="0"/>
          <w:sz w:val="18"/>
        </w:rPr>
        <w:t>Контрольный пример: требование 1 000 000 ₽, льгот нет — 50% × [10 000 + 5% × (1 000 000 − 100 000)] = 27 500 ₽. То же требование подтверждено вступившим в силу судебным актом — подтверждается льгота; этот платёж автоматически не назначается. Реквизиты и расчёт сверьте на сайте нужного суда перед подачей.</w:t>
      </w:r>
    </w:p>
    <w:p>
      <w:pPr>
        <w:keepNext/>
      </w:pPr>
      <w:r>
        <w:rPr>
          <w:b/>
          <w:sz w:val="22"/>
        </w:rPr>
        <w:t>Электронная подача и исключение для бумаги</w:t>
      </w:r>
    </w:p>
    <w:p>
      <w:r>
        <w:rPr>
          <w:b w:val="0"/>
        </w:rPr>
        <w:t>Подайте требование через предусмотренную судом систему электронной подачи в существующее дело. Сохраните подтверждение поступления и проверьте статус. Обычное письмо на электронную почту управляющего не является подачей требования в суд. При объективной невозможности электронной подачи бумажное обращение сопровождайте объяснением причин и доказательствами; отслеживайте определение об оставлении без движения и срок исправления. При последующем принятии такого обращения сохраняется дата первоначальной бумажной подачи (Пленум ВС РФ № 40, пп. 19–20).</w:t>
      </w:r>
    </w:p>
    <w:p>
      <w:pPr>
        <w:keepNext/>
      </w:pPr>
      <w:r>
        <w:rPr>
          <w:b/>
          <w:sz w:val="20"/>
        </w:rPr>
        <w:t>Нормативные основания · проверено 21.10.2026</w:t>
      </w:r>
    </w:p>
    <w:p>
      <w:pPr>
        <w:spacing w:after="60"/>
      </w:pPr>
      <w:hyperlink r:id="rId10">
        <w:r>
          <w:rPr>
            <w:color w:val="806238"/>
            <w:sz w:val="18"/>
            <w:u w:val="single"/>
          </w:rPr>
          <w:t>Закон № 127-ФЗ, ст. 71 — наблюдение: срок, адресаты, поздняя подача</w:t>
        </w:r>
      </w:hyperlink>
    </w:p>
    <w:p>
      <w:pPr>
        <w:spacing w:after="60"/>
      </w:pPr>
      <w:hyperlink r:id="rId11">
        <w:r>
          <w:rPr>
            <w:color w:val="806238"/>
            <w:sz w:val="18"/>
            <w:u w:val="single"/>
          </w:rPr>
          <w:t>Закон № 127-ФЗ, ст. 100 — внешнее управление</w:t>
        </w:r>
      </w:hyperlink>
    </w:p>
    <w:p>
      <w:pPr>
        <w:spacing w:after="60"/>
      </w:pPr>
      <w:hyperlink r:id="rId12">
        <w:r>
          <w:rPr>
            <w:color w:val="806238"/>
            <w:sz w:val="18"/>
            <w:u w:val="single"/>
          </w:rPr>
          <w:t>Закон № 127-ФЗ, ст. 142, пп. 1, 4 — конкурсное производство и пропуск</w:t>
        </w:r>
      </w:hyperlink>
    </w:p>
    <w:p>
      <w:pPr>
        <w:spacing w:after="60"/>
      </w:pPr>
      <w:hyperlink r:id="rId13">
        <w:r>
          <w:rPr>
            <w:color w:val="806238"/>
            <w:sz w:val="18"/>
            <w:u w:val="single"/>
          </w:rPr>
          <w:t>НК РФ, ст. 333.21, п. 1, подп. 1 и 9 — размер пошлины</w:t>
        </w:r>
      </w:hyperlink>
    </w:p>
    <w:p>
      <w:pPr>
        <w:spacing w:after="60"/>
      </w:pPr>
      <w:hyperlink r:id="rId14">
        <w:r>
          <w:rPr>
            <w:color w:val="806238"/>
            <w:sz w:val="18"/>
            <w:u w:val="single"/>
          </w:rPr>
          <w:t>НК РФ, ст. 333.37, п. 1, подп. 5 — льгота по судебному акту</w:t>
        </w:r>
      </w:hyperlink>
    </w:p>
    <w:p>
      <w:pPr>
        <w:spacing w:after="60"/>
      </w:pPr>
      <w:hyperlink r:id="rId15">
        <w:r>
          <w:rPr>
            <w:color w:val="806238"/>
            <w:sz w:val="18"/>
            <w:u w:val="single"/>
          </w:rPr>
          <w:t>АПК РФ, ст. 126, ч. 1, п. 2 — платёж, льгота или ходатайство</w:t>
        </w:r>
      </w:hyperlink>
    </w:p>
    <w:p>
      <w:pPr>
        <w:spacing w:after="60"/>
      </w:pPr>
      <w:hyperlink r:id="rId16">
        <w:r>
          <w:rPr>
            <w:color w:val="806238"/>
            <w:sz w:val="18"/>
            <w:u w:val="single"/>
          </w:rPr>
          <w:t>Пленум ВС РФ от 17.12.2024 № 40, пп. 19–20, 63 — подача и срок</w:t>
        </w:r>
      </w:hyperlink>
    </w:p>
    <w:p>
      <w:pPr>
        <w:keepNext/>
      </w:pPr>
      <w:r>
        <w:rPr>
          <w:b/>
          <w:sz w:val="20"/>
        </w:rPr>
        <w:t>Помощь по комплекту</w:t>
      </w:r>
    </w:p>
    <w:p>
      <w:r>
        <w:rPr>
          <w:b w:val="0"/>
          <w:sz w:val="18"/>
        </w:rPr>
        <w:t>Вопрос по заполнению или ошибка: nastoronepodryadchika@yandex.ru. Укажите P9, редакцию 21.10.2026, файл и пункт; для таблицы — лист и ячейку. Пример направляйте без персональных данных и коммерческих реквизитов.</w:t>
      </w:r>
    </w:p>
    <w:p>
      <w:pPr>
        <w:spacing w:after="60"/>
      </w:pPr>
      <w:hyperlink r:id="rId17">
        <w:r>
          <w:rPr>
            <w:sz w:val="18"/>
            <w:color w:val="806238"/>
            <w:u w:val="single"/>
          </w:rPr>
          <w:t>Написать вопрос или сообщить об ошибке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P9  /  21.10.2026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onsultant.ru/document/cons_doc_LAW_39331/c370b2fc50112a9bb07b3b319845491810f93363/" TargetMode="External"/><Relationship Id="rId11" Type="http://schemas.openxmlformats.org/officeDocument/2006/relationships/hyperlink" Target="https://www.consultant.ru/document/cons_doc_LAW_39331/0276ed4818d87da03244f67a91c04fca99e1913b/" TargetMode="External"/><Relationship Id="rId12" Type="http://schemas.openxmlformats.org/officeDocument/2006/relationships/hyperlink" Target="https://www.consultant.ru/document/cons_doc_LAW_39331/9f7dd5ffc46b7e05caec5829696c1917d6c76de6/" TargetMode="External"/><Relationship Id="rId13" Type="http://schemas.openxmlformats.org/officeDocument/2006/relationships/hyperlink" Target="https://www.consultant.ru/document/cons_doc_LAW_28165/fd44625defd599290366d418d3be13d277f1515d/" TargetMode="External"/><Relationship Id="rId14" Type="http://schemas.openxmlformats.org/officeDocument/2006/relationships/hyperlink" Target="https://www.consultant.ru/document/cons_doc_LAW_28165/1059c2aec85339ac38a3525d80fdd0e8d043b132/" TargetMode="External"/><Relationship Id="rId15" Type="http://schemas.openxmlformats.org/officeDocument/2006/relationships/hyperlink" Target="https://www.consultant.ru/document/cons_doc_LAW_37800/3602d6d485c2ed29f7b862fc5d814eac05274be0/" TargetMode="External"/><Relationship Id="rId16" Type="http://schemas.openxmlformats.org/officeDocument/2006/relationships/hyperlink" Target="https://www.garant.ru/products/ipo/prime/doc/411072155/" TargetMode="External"/><Relationship Id="rId17" Type="http://schemas.openxmlformats.org/officeDocument/2006/relationships/hyperlink" Target="mailto:nastoronepodryadchika@yandex.ru?subject=P9%20-%20ques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