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2E33"/>
          <w:sz w:val="34"/>
        </w:rPr>
        <w:t>СХЕМА: Как зафиксировать устное поручение на допработу</w:t>
      </w:r>
    </w:p>
    <w:p>
      <w:pPr>
        <w:pStyle w:val="Heading1"/>
      </w:pPr>
      <w:r>
        <w:t>Ситуация</w:t>
      </w:r>
    </w:p>
    <w:p>
      <w:r>
        <w:t>Заказчик устно просит доделать лестничную клетку, увеличить площадь отмостки или заменить материал. Вы начинаете работу - а потом заказчик говорит: 'Я такого не говорил' или 'Это в договоре включено'.</w:t>
      </w:r>
    </w:p>
    <w:p>
      <w:pPr>
        <w:pStyle w:val="Heading1"/>
      </w:pPr>
      <w:r>
        <w:t>Алгоритм фиксации (выполняйте СРАЗУ)</w:t>
      </w:r>
    </w:p>
    <w:p>
      <w:pPr>
        <w:pStyle w:val="ListNumber"/>
      </w:pPr>
      <w:r>
        <w:t>ПЕРЕПИСКА. Напишите в мессенджер / email: 'Подтверждаю получение поручения на [что именно]. Ожидаю письменное подтверждение сроков и цены. До начала работ согласуем условия; вопрос неотложных действий проверим отдельно.' Сохраните скриншоты.</w:t>
      </w:r>
    </w:p>
    <w:p>
      <w:pPr>
        <w:pStyle w:val="ListNumber"/>
      </w:pPr>
      <w:r>
        <w:t>СЛУЖЕБНАЯ ЗАПИСКА. В тот же день составьте служебную записку руководителю объекта с описанием: кто, когда, что просил, в каком присутствии. Подпишите у руководителя.</w:t>
      </w:r>
    </w:p>
    <w:p>
      <w:pPr>
        <w:pStyle w:val="ListNumber"/>
      </w:pPr>
      <w:r>
        <w:t>ЖУРНАЛ РАБОТ. Внесите запись в общий журнал работ: 'Получено устное поручение от [ФИО] на [описание работ]. Ожидается письменное подтверждение.'</w:t>
      </w:r>
    </w:p>
    <w:p>
      <w:pPr>
        <w:pStyle w:val="ListNumber"/>
      </w:pPr>
      <w:r>
        <w:t>ФОТОФИКСАЦИЯ. Сделайте фото состояния объекта ДО начала допработ с привязкой к дате (включите геолокацию на телефоне).</w:t>
      </w:r>
    </w:p>
    <w:p>
      <w:pPr>
        <w:pStyle w:val="ListNumber"/>
      </w:pPr>
      <w:r>
        <w:t>УВЕДОМЛЕНИЕ. Направьте заказчику официальное письмо с уведомлением о получении поручения (форма — в этом наборе).</w:t>
      </w:r>
    </w:p>
    <w:p>
      <w:pPr>
        <w:pStyle w:val="Heading1"/>
      </w:pPr>
      <w:r>
        <w:t>Обычный порядок до согласования</w:t>
      </w:r>
    </w:p>
    <w:p>
      <w:pPr>
        <w:pStyle w:val="ListBullet"/>
      </w:pPr>
      <w:r>
        <w:t>До начала согласуйте объём, цену и сроки. Отдельно проверьте, нет ли оснований для немедленных действий по п. 4 ст. 743 ГК РФ.</w:t>
      </w:r>
    </w:p>
    <w:p>
      <w:pPr>
        <w:pStyle w:val="ListBullet"/>
      </w:pPr>
      <w:r>
        <w:t>Не принимайте устные обещания 'потом все подпишем' как достаточное согласование объёма, цены и срока.</w:t>
      </w:r>
    </w:p>
    <w:p>
      <w:pPr>
        <w:pStyle w:val="ListBullet"/>
      </w:pPr>
      <w:r>
        <w:t>До начала работ сохраните доказательства поручения и согласования; одной надежды на последующую оплату недостаточно.</w:t>
      </w:r>
    </w:p>
    <w:p>
      <w:pPr>
        <w:pStyle w:val="ListBullet"/>
      </w:pPr>
      <w:r>
        <w:t>Не подменяйте актом согласование цены. Если работы уже выполнены, сохраните доказательства объёма и сдачи; отсутствие соглашения само по себе не является основанием скрывать фактически выполненные работы или прекращать документирование.</w:t>
      </w:r>
    </w:p>
    <w:p>
      <w:pPr>
        <w:pStyle w:val="Heading1"/>
      </w:pPr>
      <w:r>
        <w:t>Когда устное поручение уже выполнено, а документов нет</w:t>
      </w:r>
    </w:p>
    <w:p>
      <w:r>
        <w:t>Ситуация сложная, но не безнадежная. Соберите сохранившуюся переписку и документы по фактически выполненному объёму. Комплект помогает систематизировать материалы и оформить дальнейшее согласование.</w:t>
      </w:r>
    </w:p>
    <w:p>
      <w:pPr>
        <w:pStyle w:val="Heading1"/>
      </w:pPr>
      <w:r>
        <w:t>Переход к полному комплекту</w:t>
      </w:r>
    </w:p>
    <w:p>
      <w:r>
        <w:t>Комплект «Система оформления и получения оплаты за дополнительные работы» включает: формы поручения, уведомления, расчёт стоимости, журнал и соглашения о цене и сроке.</w:t>
        <w:br/>
        <w:br/>
        <w:t>Стоимость: 24 900 ₽</w:t>
        <w:br/>
        <w:t>Страница комплекта: https://nastoronepodryadchika.ru/products/p2-dopolnitelnye-raboty.html</w:t>
      </w:r>
    </w:p>
    <w:p>
      <w:pPr>
        <w:pStyle w:val="Heading2"/>
        <w:keepNext/>
        <w:pageBreakBefore/>
      </w:pPr>
      <w:r>
        <w:t>Развилка по дополнительным работам</w:t>
      </w:r>
    </w:p>
    <w:p>
      <w:r>
        <w:t>Для неучтённых в технической документации работ, увеличивающих сметную стоимость, проверьте порядок п. 3 ст. 743 ГК РФ: уведомление заказчика, применимый срок ответа и приостановку соответствующих работ при отсутствии ответа. Обычный срок ответа — десять дней; закон или договор могут устанавливать иной.</w:t>
      </w:r>
    </w:p>
    <w:p>
      <w:r>
        <w:t>Нарушение обязанности по п. 3 создаёт риск утраты права требовать оплату допработ и связанные убытки. Исключение по п. 4 требует доказать необходимость немедленных действий в интересах заказчика, например для предотвращения гибели или повреждения объекта. Сохраните хронологию угрозы, акт, фото и обоснование выполненных неотложных действий.</w:t>
      </w:r>
    </w:p>
    <w:p>
      <w:r>
        <w:t>Если работы уже выполнены, соберите подтверждения уведомления, согласования, необходимости, объёма и сдачи. Претензионную позицию выбирайте по фактам; один подписанный акт не заменяет проверку оснований оплаты.</w:t>
      </w:r>
    </w:p>
    <w:p>
      <w:hyperlink r:id="rIdNspReview1">
        <w:r>
          <w:rPr>
            <w:color w:val="1F4E79"/>
            <w:u w:val="single"/>
          </w:rPr>
          <w:t>ГК РФ, ст. 743, п. 3–4 — уведомление, приостановка и неотложные действия</w:t>
        </w:r>
      </w:hyperlink>
    </w:p>
    <w:p>
      <w:r>
        <w:t>Пример расчёта: 150 м² × 850 руб. = 127 500 руб.; ещё 20 шт. × 1 000 руб. дают общий итог 147 500 руб. В реестре 04 неполная или нечисловая строка должна требовать проверки. Укажите источник объёма, цену и единицы, затем подтвердите согласование и сдачу.</w:t>
      </w:r>
    </w:p>
    <w:p>
      <w:r>
        <w:t>Поддержка: nastoronepodryadchika@yandex.ru. В теме укажите FREE-dop-raboty и имя файла; в сообщении — пункт или ячейку, пример и ожидаемый результат. Приложите копию без конфиденциальных данных.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6F4E"/>
        <w:sz w:val="16"/>
      </w:rPr>
      <w:t>На стороне подрядчика  •  nastoronepodryadchika.ru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63C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92E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292E3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NspReview1" Type="http://schemas.openxmlformats.org/officeDocument/2006/relationships/hyperlink" Target="https://www.consultant.ru/document/cons_doc_LAW_9027/b48c040fb20b324efb339e89ad832027d4b5d97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