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ЧЕК-ЛИСТ: Что проверить ДО начала допработ</w:t>
      </w:r>
    </w:p>
    <w:p>
      <w:pPr>
        <w:pStyle w:val="Heading1"/>
      </w:pPr>
      <w:r>
        <w:t>Перед началом допработ проверьте условия ниже. Фотографии и внутренние записи помогают сохранить доказательства; обязанности по уведомлению и приостановке определяются отдельно по договору и закону.</w:t>
      </w:r>
    </w:p>
    <w:p>
      <w:pPr>
        <w:pStyle w:val="ListNumber"/>
      </w:pPr>
      <w:r>
        <w:t>Есть ли письменное поручение заказчика на допобъем? (приказ, письмо, протокол совещания)</w:t>
      </w:r>
    </w:p>
    <w:p>
      <w:pPr>
        <w:pStyle w:val="ListNumber"/>
      </w:pPr>
      <w:r>
        <w:t>Подписано ли соглашение об изменении объемов / сроков / стоимости?</w:t>
      </w:r>
    </w:p>
    <w:p>
      <w:pPr>
        <w:pStyle w:val="ListNumber"/>
      </w:pPr>
      <w:r>
        <w:t>Есть ли письменное подтверждение цены за единицу допработ?</w:t>
      </w:r>
    </w:p>
    <w:p>
      <w:pPr>
        <w:pStyle w:val="ListNumber"/>
      </w:pPr>
      <w:r>
        <w:t>Фиксированы ли сроки выполнения допработ?</w:t>
      </w:r>
    </w:p>
    <w:p>
      <w:pPr>
        <w:pStyle w:val="ListNumber"/>
      </w:pPr>
      <w:r>
        <w:t>Понятно, кто оплачивает материалы для допработ?</w:t>
      </w:r>
    </w:p>
    <w:p>
      <w:pPr>
        <w:pStyle w:val="ListNumber"/>
      </w:pPr>
      <w:r>
        <w:t>Есть ли запись в журнале работ о допобъеме?</w:t>
      </w:r>
    </w:p>
    <w:p>
      <w:pPr>
        <w:pStyle w:val="ListNumber"/>
      </w:pPr>
      <w:r>
        <w:t>Сделаны ли фотофиксации 'до' начала допработ?</w:t>
      </w:r>
    </w:p>
    <w:p>
      <w:pPr>
        <w:pStyle w:val="Heading1"/>
      </w:pPr>
      <w:r>
        <w:t>Если ответ 'НЕТ' хотя бы на один вопрос</w:t>
      </w:r>
    </w:p>
    <w:p>
      <w:r>
        <w:t>Риск неоплаты допработ резко возрастает. Рекомендуем остановиться и зафиксировать условия в письменном виде. Используйте схему фиксации поручения и форму уведомления из этого комплекта.</w:t>
      </w:r>
    </w:p>
    <w:p>
      <w:pPr>
        <w:pStyle w:val="Heading1"/>
      </w:pPr>
      <w:r>
        <w:t>Следующий шаг — оформить условия</w:t>
      </w:r>
    </w:p>
    <w:p>
      <w:pPr>
        <w:pStyle w:val="ListBullet"/>
      </w:pPr>
      <w:r>
        <w:t>Зафиксируйте поручение и согласуйте конкретный объём работ.</w:t>
      </w:r>
    </w:p>
    <w:p>
      <w:pPr>
        <w:pStyle w:val="ListBullet"/>
      </w:pPr>
      <w:r>
        <w:t>Рассчитайте стоимость и отразите влияние на сроки.</w:t>
      </w:r>
    </w:p>
    <w:p>
      <w:pPr>
        <w:pStyle w:val="ListBullet"/>
      </w:pPr>
      <w:r>
        <w:t>Сохраните переписку, фото и документы передачи результата.</w:t>
      </w:r>
    </w:p>
    <w:p>
      <w:pPr>
        <w:pStyle w:val="Heading1"/>
      </w:pPr>
      <w:r>
        <w:t>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поручения, согласования объёма,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p>
      <w:pPr>
        <w:pStyle w:val="Heading2"/>
        <w:keepNext/>
      </w:pPr>
      <w:r>
        <w:t>Развилка по дополнительным работам</w:t>
      </w:r>
    </w:p>
    <w:p>
      <w:r>
        <w:t>Для неучтённых в технической документации работ, увеличивающих сметную стоимость, проверьте порядок п. 3 ст. 743 ГК РФ: уведомление заказчика, применимый срок ответа и приостановку соответствующих работ при отсутствии ответа. Обычный срок ответа — десять дней; закон или договор могут устанавливать иной.</w:t>
      </w:r>
    </w:p>
    <w:p>
      <w:r>
        <w:t>Нарушение обязанности по п. 3 создаёт риск утраты права требовать оплату допработ и связанные убытки. Исключение по п. 4 требует доказать необходимость немедленных действий в интересах заказчика, например для предотвращения гибели или повреждения объекта. Сохраните хронологию угрозы, акт, фото и обоснование выполненных неотложных действий.</w:t>
      </w:r>
    </w:p>
    <w:p>
      <w:r>
        <w:t>Если работы уже выполнены, соберите подтверждения уведомления, согласования, необходимости, объёма и сдачи. Претензионную позицию выбирайте по фактам; один подписанный акт не заменяет проверку оснований оплаты.</w:t>
      </w:r>
    </w:p>
    <w:p>
      <w:hyperlink r:id="rIdNspReview1">
        <w:r>
          <w:rPr>
            <w:color w:val="1F4E79"/>
            <w:u w:val="single"/>
          </w:rPr>
          <w:t>ГК РФ, ст. 743, п. 3–4 — уведомление, приостановка и неотложные действия</w:t>
        </w:r>
      </w:hyperlink>
    </w:p>
    <w:p>
      <w:r>
        <w:t>Пример расчёта: 150 м² × 850 руб. = 127 500 руб.; ещё 20 шт. × 1 000 руб. дают общий итог 147 500 руб. В реестре 04 неполная или нечисловая строка должна требовать проверки. Укажите источник объёма, цену и единицы, затем подтвердите согласование и сдачу.</w:t>
      </w:r>
    </w:p>
    <w:p>
      <w:r>
        <w:t>Поддержка: nastoronepodryadchika@yandex.ru. В теме укажите FREE-dop-raboty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NspReview1" Type="http://schemas.openxmlformats.org/officeDocument/2006/relationships/hyperlink" Target="https://www.consultant.ru/document/cons_doc_LAW_9027/b48c040fb20b324efb339e89ad832027d4b5d9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