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025"/>
        <w:gridCol w:w="5272"/>
      </w:tblGrid>
      <w:tr>
        <w:trPr>
          <w:cantSplit/>
        </w:trPr>
        <w:tc>
          <w:tcPr>
            <w:tcW w:type="dxa" w:w="4025"/>
            <w:vAlign w:val="top"/>
          </w:tcPr>
          <w:p>
            <w:pPr>
              <w:spacing w:after="40" w:line="259" w:lineRule="auto"/>
            </w:pPr>
            <w:r>
              <w:rPr>
                <w:rFonts w:ascii="Arial" w:hAnsi="Arial"/>
                <w:color w:val="262F37"/>
                <w:sz w:val="18"/>
              </w:rPr>
              <w:t>[На бланке организации]</w:t>
            </w:r>
          </w:p>
          <w:p>
            <w:pPr>
              <w:spacing w:after="40" w:line="259" w:lineRule="auto"/>
            </w:pPr>
            <w:r>
              <w:rPr>
                <w:rFonts w:ascii="Arial" w:hAnsi="Arial"/>
                <w:color w:val="262F37"/>
                <w:sz w:val="18"/>
              </w:rPr>
              <w:t>Исх. № _____ от '___' ___________ 20___ г.</w:t>
            </w:r>
          </w:p>
        </w:tc>
        <w:tc>
          <w:tcPr>
            <w:tcW w:type="dxa" w:w="5272"/>
            <w:vAlign w:val="top"/>
          </w:tcPr>
          <w:p>
            <w:pPr>
              <w:spacing w:after="40" w:line="259" w:lineRule="auto"/>
              <w:jc w:val="left"/>
            </w:pPr>
            <w:r>
              <w:rPr>
                <w:rFonts w:ascii="Arial" w:hAnsi="Arial"/>
                <w:color w:val="262F37"/>
                <w:sz w:val="18"/>
              </w:rPr>
              <w:t>Генеральному директору</w:t>
            </w:r>
          </w:p>
          <w:p>
            <w:pPr>
              <w:spacing w:after="40" w:line="259" w:lineRule="auto"/>
              <w:jc w:val="left"/>
            </w:pPr>
            <w:r>
              <w:rPr>
                <w:rFonts w:ascii="Arial" w:hAnsi="Arial"/>
                <w:color w:val="262F37"/>
                <w:sz w:val="18"/>
              </w:rPr>
              <w:t>[Наименование заказчика]</w:t>
            </w:r>
          </w:p>
          <w:p>
            <w:pPr>
              <w:spacing w:after="40" w:line="259" w:lineRule="auto"/>
              <w:jc w:val="left"/>
            </w:pPr>
            <w:r>
              <w:rPr>
                <w:rFonts w:ascii="Arial" w:hAnsi="Arial"/>
                <w:color w:val="262F37"/>
                <w:sz w:val="18"/>
              </w:rPr>
              <w:t>[ФИО руководителя]</w:t>
            </w:r>
          </w:p>
          <w:p>
            <w:pPr>
              <w:spacing w:after="40" w:line="259" w:lineRule="auto" w:before="80"/>
              <w:jc w:val="left"/>
            </w:pPr>
            <w:r>
              <w:rPr>
                <w:rFonts w:ascii="Arial" w:hAnsi="Arial"/>
                <w:color w:val="262F37"/>
                <w:sz w:val="18"/>
              </w:rPr>
              <w:t>От [Наименование подрядчика]</w:t>
            </w:r>
          </w:p>
        </w:tc>
      </w:tr>
    </w:tbl>
    <w:p>
      <w:pPr>
        <w:keepNext/>
        <w:keepLines/>
        <w:widowControl/>
        <w:spacing w:before="240" w:after="80" w:line="271" w:lineRule="auto"/>
        <w:jc w:val="center"/>
        <w:pBdr>
          <w:bottom w:val="single" w:sz="8" w:color="8E6F32" w:space="5"/>
        </w:pBdr>
      </w:pPr>
      <w:r>
        <w:rPr>
          <w:rFonts w:ascii="Arial" w:hAnsi="Arial" w:eastAsia="Arial" w:cs="Arial"/>
          <w:b/>
          <w:i w:val="0"/>
          <w:color w:val="262F37"/>
          <w:sz w:val="28"/>
        </w:rPr>
        <w:t>ВОЗРАЖЕНИЕ</w:t>
      </w:r>
    </w:p>
    <w:p>
      <w:pPr>
        <w:keepNext/>
        <w:widowControl/>
        <w:spacing w:before="0" w:after="80" w:line="271" w:lineRule="auto"/>
        <w:jc w:val="center"/>
      </w:pPr>
      <w:r>
        <w:rPr>
          <w:rFonts w:ascii="Arial" w:hAnsi="Arial" w:eastAsia="Arial" w:cs="Arial"/>
          <w:b/>
          <w:i w:val="0"/>
          <w:color w:val="262F37"/>
          <w:sz w:val="20"/>
        </w:rPr>
        <w:t>на списание суммы в одностороннем порядке</w:t>
      </w:r>
    </w:p>
    <w:p>
      <w:pPr>
        <w:widowControl/>
        <w:spacing w:before="0" w:after="80" w:line="271" w:lineRule="auto"/>
      </w:pPr>
      <w:r>
        <w:rPr>
          <w:rFonts w:ascii="Arial" w:hAnsi="Arial" w:eastAsia="Arial" w:cs="Arial"/>
          <w:i w:val="0"/>
          <w:color w:val="31363C"/>
          <w:sz w:val="21"/>
        </w:rPr>
        <w:t>Уважаемый [ФИО]!</w:t>
      </w:r>
    </w:p>
    <w:p>
      <w:pPr>
        <w:widowControl/>
        <w:spacing w:before="0" w:after="80" w:line="271" w:lineRule="auto"/>
      </w:pPr>
      <w:r>
        <w:rPr>
          <w:rFonts w:ascii="Arial" w:hAnsi="Arial" w:eastAsia="Arial" w:cs="Arial"/>
          <w:i w:val="0"/>
          <w:color w:val="31363C"/>
          <w:sz w:val="21"/>
        </w:rPr>
        <w:t>Возражаем против уменьшения оплаты по заявлению Заказчика от [дата] на [сумма] руб. со ссылкой на прекращение встречных требований зачётом. Наши возражения основаны на следующих обстоятельствах [оставить подтверждённые основания, неприменимые удалить].</w:t>
      </w:r>
    </w:p>
    <w:p>
      <w:pPr>
        <w:widowControl/>
        <w:spacing w:before="0" w:after="80" w:line="271" w:lineRule="auto"/>
      </w:pPr>
      <w:r>
        <w:rPr>
          <w:rFonts w:ascii="Arial" w:hAnsi="Arial" w:eastAsia="Arial" w:cs="Arial"/>
          <w:i w:val="0"/>
          <w:color w:val="31363C"/>
          <w:sz w:val="21"/>
        </w:rPr>
        <w:t>1. [Только при наличии соответствующего договорного ограничения:] нарушен п. [номер] договора, который [запрещает односторонний зачёт / допускает его только по соглашению]. Указать точный текст и обстоятельства нарушения.</w:t>
      </w:r>
    </w:p>
    <w:p>
      <w:pPr>
        <w:widowControl/>
        <w:spacing w:before="0" w:after="60" w:line="271" w:lineRule="auto"/>
      </w:pPr>
      <w:r>
        <w:rPr>
          <w:rFonts w:ascii="Arial" w:hAnsi="Arial" w:eastAsia="Arial" w:cs="Arial"/>
          <w:i w:val="0"/>
          <w:color w:val="31363C"/>
          <w:sz w:val="21"/>
        </w:rPr>
        <w:t xml:space="preserve">По </w:t>
      </w:r>
      <w:hyperlink r:id="rId11">
        <w:r>
          <w:rPr>
            <w:sz w:val="18"/>
            <w:color w:val="806238"/>
            <w:u w:val="single"/>
          </w:rPr>
          <w:t>ст. 410 ГК РФ</w:t>
        </w:r>
      </w:hyperlink>
      <w:r>
        <w:t xml:space="preserve"> для зачёта может быть достаточно заявления одной стороны. Отсутствие нашего согласия само по себе не доказывает нарушение; договорное ограничение приводится только при его наличии и применимости.</w:t>
      </w:r>
    </w:p>
    <w:p>
      <w:pPr>
        <w:widowControl/>
        <w:spacing w:before="0" w:after="80" w:line="271" w:lineRule="auto"/>
      </w:pPr>
      <w:r>
        <w:rPr>
          <w:rFonts w:ascii="Arial" w:hAnsi="Arial" w:eastAsia="Arial" w:cs="Arial"/>
          <w:i w:val="0"/>
          <w:color w:val="31363C"/>
          <w:sz w:val="21"/>
        </w:rPr>
        <w:t>2. Требование Заказчика не подтверждено в части [сумма] руб. по конкретным фактическим и правовым основаниям: [отсутствие нарушения / причинной связи / неверный объём / завышенный расчёт / иное]. Само наличие спора о требовании не является самостоятельным запретом зачёта.</w:t>
      </w:r>
    </w:p>
    <w:p>
      <w:pPr>
        <w:widowControl/>
        <w:spacing w:before="0" w:after="80" w:line="271" w:lineRule="auto"/>
      </w:pPr>
      <w:r>
        <w:rPr>
          <w:rFonts w:ascii="Arial" w:hAnsi="Arial" w:eastAsia="Arial" w:cs="Arial"/>
          <w:i w:val="0"/>
          <w:color w:val="31363C"/>
          <w:sz w:val="21"/>
        </w:rPr>
        <w:t xml:space="preserve">   [Описать: в чем именно претензия заказчика и почему она необоснованна]</w:t>
      </w:r>
    </w:p>
    <w:p>
      <w:pPr>
        <w:widowControl/>
        <w:spacing w:before="0" w:after="80" w:line="271" w:lineRule="auto"/>
      </w:pPr>
      <w:r>
        <w:rPr>
          <w:rFonts w:ascii="Arial" w:hAnsi="Arial" w:eastAsia="Arial" w:cs="Arial"/>
          <w:i w:val="0"/>
          <w:color w:val="31363C"/>
          <w:sz w:val="21"/>
        </w:rPr>
        <w:t>3. [Выбрать применимое, остальное удалить:]</w:t>
      </w:r>
    </w:p>
    <w:p>
      <w:pPr>
        <w:widowControl/>
        <w:spacing w:before="0" w:after="80" w:line="271" w:lineRule="auto"/>
      </w:pPr>
      <w:r>
        <w:rPr>
          <w:rFonts w:ascii="Arial" w:hAnsi="Arial" w:eastAsia="Arial" w:cs="Arial"/>
          <w:i w:val="0"/>
          <w:color w:val="31363C"/>
          <w:sz w:val="21"/>
        </w:rPr>
        <w:t xml:space="preserve">   - Размер зачёта превышает размер встречного требования Заказчика, определённый договором и подтверждённый документами: [указать, какое требование заявлено к зачёту (убытки, неустойка, иное), его размер по расчёту Заказчика и размер, который Подрядчик считает обоснованным, со ссылкой на документы].</w:t>
      </w:r>
    </w:p>
    <w:p>
      <w:pPr>
        <w:widowControl/>
        <w:spacing w:before="0" w:after="60" w:line="271" w:lineRule="auto"/>
      </w:pPr>
      <w:r>
        <w:rPr>
          <w:rFonts w:ascii="Arial" w:hAnsi="Arial" w:eastAsia="Arial" w:cs="Arial"/>
          <w:i w:val="0"/>
          <w:color w:val="31363C"/>
          <w:sz w:val="21"/>
        </w:rPr>
        <w:t xml:space="preserve">   - Срок исполнения встречного требования Заказчика не наступил (</w:t>
      </w:r>
      <w:hyperlink r:id="rId11">
        <w:r>
          <w:rPr>
            <w:sz w:val="18"/>
            <w:color w:val="806238"/>
            <w:u w:val="single"/>
          </w:rPr>
          <w:t>ст. 410 ГК РФ</w:t>
        </w:r>
      </w:hyperlink>
      <w:r>
        <w:t>).</w:t>
      </w:r>
    </w:p>
    <w:p>
      <w:pPr>
        <w:widowControl/>
        <w:spacing w:before="0" w:after="60" w:line="271" w:lineRule="auto"/>
      </w:pPr>
      <w:r>
        <w:rPr>
          <w:rFonts w:ascii="Arial" w:hAnsi="Arial" w:eastAsia="Arial" w:cs="Arial"/>
          <w:i w:val="0"/>
          <w:color w:val="31363C"/>
          <w:sz w:val="21"/>
        </w:rPr>
        <w:t xml:space="preserve">   - [Только если встречное требование Заказчика не денежное (например, о передаче вещи или о безвозмездном устранении недостатков) и оставалось таким на дату заявления о зачёте; к неустойке, процентам и убыткам не применяется:] Встречное требование Заказчика не однородно с денежным требованием Подрядчика (</w:t>
      </w:r>
      <w:hyperlink r:id="rId11">
        <w:r>
          <w:rPr>
            <w:sz w:val="18"/>
            <w:color w:val="806238"/>
            <w:u w:val="single"/>
          </w:rPr>
          <w:t>ст. 410 ГК РФ</w:t>
        </w:r>
      </w:hyperlink>
      <w:r>
        <w:t>).</w:t>
      </w:r>
    </w:p>
    <w:p>
      <w:pPr>
        <w:widowControl/>
        <w:spacing w:before="0" w:after="80" w:line="271" w:lineRule="auto"/>
      </w:pPr>
      <w:r>
        <w:rPr>
          <w:rFonts w:ascii="Arial" w:hAnsi="Arial" w:eastAsia="Arial" w:cs="Arial"/>
          <w:i w:val="0"/>
          <w:color w:val="31363C"/>
          <w:sz w:val="21"/>
        </w:rPr>
        <w:t xml:space="preserve">   - Зачёт не допускается договором (п. [номер] Договора) или по встречному требованию Заказчика истёк срок исковой давности (ст. 411, п. 3 ст. 199 ГК РФ).</w:t>
      </w:r>
    </w:p>
    <w:p>
      <w:pPr>
        <w:keepNext/>
        <w:widowControl/>
        <w:spacing w:before="140" w:after="80" w:line="271" w:lineRule="auto"/>
      </w:pPr>
      <w:r>
        <w:rPr>
          <w:rFonts w:ascii="Arial" w:hAnsi="Arial" w:eastAsia="Arial" w:cs="Arial"/>
          <w:i w:val="0"/>
          <w:color w:val="31363C"/>
          <w:sz w:val="21"/>
        </w:rPr>
        <w:t>ТРЕБОВАНИЯ:</w:t>
      </w:r>
    </w:p>
    <w:p>
      <w:pPr>
        <w:widowControl/>
        <w:spacing w:before="0" w:after="80" w:line="271" w:lineRule="auto"/>
      </w:pPr>
      <w:r>
        <w:rPr>
          <w:rFonts w:ascii="Arial" w:hAnsi="Arial" w:eastAsia="Arial" w:cs="Arial"/>
          <w:i w:val="0"/>
          <w:color w:val="31363C"/>
          <w:sz w:val="21"/>
        </w:rPr>
        <w:t xml:space="preserve">   - Пересмотреть уменьшение оплаты в оспариваемой части [сумма] руб. по приведённым основаниям.</w:t>
      </w:r>
    </w:p>
    <w:p>
      <w:pPr>
        <w:widowControl/>
        <w:spacing w:before="0" w:after="80" w:line="271" w:lineRule="auto"/>
      </w:pPr>
      <w:r>
        <w:rPr>
          <w:rFonts w:ascii="Arial" w:hAnsi="Arial" w:eastAsia="Arial" w:cs="Arial"/>
          <w:i w:val="0"/>
          <w:color w:val="31363C"/>
          <w:sz w:val="21"/>
        </w:rPr>
        <w:t xml:space="preserve">   - Уплатить непогашенную задолженность за работы [сумма] руб. с учётом установленного срока оплаты и приложенного расчёта.</w:t>
      </w:r>
    </w:p>
    <w:p>
      <w:pPr>
        <w:widowControl/>
        <w:spacing w:before="0" w:after="80" w:line="271" w:lineRule="auto"/>
      </w:pPr>
      <w:r>
        <w:rPr>
          <w:rFonts w:ascii="Arial" w:hAnsi="Arial" w:eastAsia="Arial" w:cs="Arial"/>
          <w:i w:val="0"/>
          <w:color w:val="31363C"/>
          <w:sz w:val="21"/>
        </w:rPr>
        <w:t xml:space="preserve">   - Представить документы и подробный расчёт встречного требования; провести сверку спорных позиций до [дата].</w:t>
      </w:r>
    </w:p>
    <w:p>
      <w:pPr>
        <w:keepNext/>
        <w:widowControl/>
        <w:spacing w:before="160" w:after="0" w:line="271" w:lineRule="auto"/>
      </w:pPr>
      <w:r>
        <w:rPr>
          <w:rFonts w:ascii="Arial" w:hAnsi="Arial" w:eastAsia="Arial" w:cs="Arial"/>
          <w:i w:val="0"/>
          <w:color w:val="31363C"/>
          <w:sz w:val="21"/>
        </w:rPr>
        <w:t>Генеральный директор _________________ [ФИО]</w:t>
      </w:r>
    </w:p>
    <w:p>
      <w:pPr>
        <w:keepNext w:val="0"/>
        <w:widowControl/>
        <w:spacing w:before="0" w:after="0" w:line="271" w:lineRule="auto"/>
      </w:pPr>
      <w:r>
        <w:rPr>
          <w:rFonts w:ascii="Arial" w:hAnsi="Arial" w:eastAsia="Arial" w:cs="Arial"/>
          <w:i w:val="0"/>
          <w:color w:val="31363C"/>
          <w:sz w:val="21"/>
        </w:rPr>
        <w:t>М.П.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304" w:bottom="1134" w:left="1304" w:header="425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1" w:lineRule="auto"/>
    </w:pPr>
    <w:rPr>
      <w:rFonts w:ascii="Arial" w:hAnsi="Arial"/>
      <w:color w:val="31363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/>
      <w:color w:val="31363C"/>
      <w:sz w:val="21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/>
      <w:color w:val="31363C"/>
      <w:sz w:val="21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0353B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0353B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1363C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/>
      <w:b/>
      <w:bCs/>
      <w:i/>
      <w:iCs/>
      <w:color w:val="31363C"/>
      <w:sz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Arial" w:hAnsi="Arial"/>
      <w:color w:val="31363C"/>
      <w:sz w:val="2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ascii="Arial" w:hAnsi="Arial"/>
      <w:i/>
      <w:iCs/>
      <w:color w:val="31363C"/>
      <w:sz w:val="21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 w:ascii="Arial" w:hAnsi="Arial"/>
      <w:i/>
      <w:iCs/>
      <w:color w:val="31363C"/>
      <w:sz w:val="21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 w:ascii="Arial" w:hAnsi="Arial"/>
      <w:color w:val="31363C"/>
      <w:sz w:val="2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 w:ascii="Arial" w:hAnsi="Arial"/>
      <w:i/>
      <w:iCs/>
      <w:color w:val="31363C"/>
      <w:sz w:val="21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Arial" w:hAnsi="Arial"/>
      <w:color w:val="31363C"/>
      <w:sz w:val="21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30353B"/>
      <w:spacing w:val="5"/>
      <w:kern w:val="28"/>
      <w:sz w:val="3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/>
      <w:i/>
      <w:iCs/>
      <w:color w:val="31363C"/>
      <w:spacing w:val="15"/>
      <w:sz w:val="21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Arial" w:hAnsi="Arial"/>
      <w:color w:val="31363C"/>
      <w:sz w:val="21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Arial" w:hAnsi="Arial"/>
      <w:color w:val="31363C"/>
      <w:sz w:val="21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Arial" w:hAnsi="Arial"/>
      <w:color w:val="31363C"/>
      <w:sz w:val="21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Arial" w:hAnsi="Arial"/>
      <w:color w:val="31363C"/>
      <w:sz w:val="21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Arial" w:hAnsi="Arial"/>
      <w:color w:val="31363C"/>
      <w:sz w:val="21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Arial" w:hAnsi="Arial"/>
      <w:color w:val="31363C"/>
      <w:sz w:val="21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Arial" w:hAnsi="Arial"/>
      <w:color w:val="31363C"/>
      <w:sz w:val="21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  <w:color w:val="31363C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Arial" w:hAnsi="Arial"/>
      <w:color w:val="31363C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Arial" w:hAnsi="Arial"/>
      <w:color w:val="31363C"/>
      <w:sz w:val="21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/>
      <w:color w:val="31363C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Arial" w:hAnsi="Arial"/>
      <w:color w:val="31363C"/>
      <w:sz w:val="21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Arial" w:hAnsi="Arial"/>
      <w:color w:val="31363C"/>
      <w:sz w:val="21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Arial" w:hAnsi="Arial"/>
      <w:color w:val="31363C"/>
      <w:sz w:val="21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Arial" w:hAnsi="Arial"/>
      <w:color w:val="31363C"/>
      <w:sz w:val="21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Arial" w:hAnsi="Arial"/>
      <w:color w:val="31363C"/>
      <w:sz w:val="21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rial" w:hAnsi="Arial"/>
      <w:color w:val="31363C"/>
      <w:sz w:val="21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Arial" w:hAnsi="Arial"/>
      <w:i/>
      <w:iCs/>
      <w:color w:val="31363C"/>
      <w:sz w:val="2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Arial" w:hAnsi="Arial"/>
      <w:b/>
      <w:bCs/>
      <w:color w:val="31363C"/>
      <w:sz w:val="2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rFonts w:ascii="Arial" w:hAnsi="Arial"/>
      <w:b/>
      <w:bCs/>
      <w:i/>
      <w:iCs/>
      <w:color w:val="31363C"/>
      <w:sz w:val="2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Arial" w:hAnsi="Arial"/>
      <w:color w:val="31363C"/>
      <w:sz w:val="21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www.consultant.ru/document/cons_doc_LAW_5142/ce09e59d11f3a60c30a1601c0f6c7cceb9835dfa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