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AE8031"/>
          <w:sz w:val="32"/>
        </w:rPr>
        <w:t>Требуют вернуть аванс: порядок действий</w:t>
      </w:r>
    </w:p>
    <w:p>
      <w:r>
        <w:rPr>
          <w:b/>
          <w:color w:val="AE8031"/>
          <w:sz w:val="22"/>
        </w:rPr>
        <w:t>Регистрация требования</w:t>
      </w:r>
    </w:p>
    <w:p>
      <w:r>
        <w:t>1. Сохраните требование и дату получения. Установите статус договора: действует / прекращён соглашением / заявлен односторонний отказ / расторгнут судом / прекращение оспаривается. Запишите основание, дату и документ; при отказе — дату доставки уведомления и проверенное основание права на отказ. Само требование вернуть аванс не подтверждает прекращение договора.</w:t>
      </w:r>
    </w:p>
    <w:p>
      <w:r>
        <w:t>2. Разделите: полученный аванс; выполненные и предъявленные работы; уже оплаченные работы; спорные работы, материалы, расходы и обеспечительные суммы.</w:t>
      </w:r>
    </w:p>
    <w:p>
      <w:r>
        <w:rPr>
          <w:b/>
          <w:color w:val="AE8031"/>
          <w:sz w:val="22"/>
        </w:rPr>
        <w:t>Расчёт</w:t>
      </w:r>
    </w:p>
    <w:p>
      <w:r>
        <w:t>3. Заполните файл 09 по каждому акту и платежу. Подписанные и односторонние акты отражайте раздельно. Не включайте спорные затраты в подтверждённую стоимость без основания.</w:t>
      </w:r>
    </w:p>
    <w:p>
      <w:r>
        <w:t>4. Сверьте расчёт с выписками, КС-2/КС-3, исполнительной документацией и перепиской о передаче. Подготовьте акт сверки как проект.</w:t>
      </w:r>
    </w:p>
    <w:p>
      <w:r>
        <w:rPr>
          <w:b/>
          <w:color w:val="AE8031"/>
          <w:sz w:val="22"/>
        </w:rPr>
        <w:t>Ответ</w:t>
      </w:r>
    </w:p>
    <w:p>
      <w:r>
        <w:t>5. В файле 10 выберите текст о действующем, прекращённом договоре либо об оспариваемом прекращении и удалите другую ветвь. Укажите сумму требования, свой расчёт и расхождения. При незавершённом расчёте направьте промежуточный ответ с датой представления документов, не признавая неподтверждённую сумму.</w:t>
      </w:r>
    </w:p>
    <w:p>
      <w:r>
        <w:t>6. Проверьте основание возврата: условия действующего договора либо последствия конкретного прекращения. Отдельно оцените оплату выполненной части, подтверждённые расходы, убытки и судьбу материалов по применимому основанию. Не уменьшайте остаток аванса на любые понесённые расходы автоматически; покажите правовое основание и документы по каждой спорной позиции.</w:t>
      </w:r>
    </w:p>
    <w:p>
      <w:r>
        <w:t>7. Направьте ответ договорным каналом; сохраните опись, подтверждение отправки и получения. Не подписывайте расчёт другой стороны до сверки всех позиций.</w:t>
      </w:r>
    </w:p>
    <w:p>
      <w:pPr>
        <w:keepNext/>
      </w:pPr>
      <w:r>
        <w:rPr>
          <w:b/>
          <w:sz w:val="20"/>
        </w:rPr>
        <w:t>Контроль перед ответом</w:t>
      </w:r>
    </w:p>
    <w:p>
      <w:r>
        <w:rPr>
          <w:b w:val="0"/>
        </w:rPr>
        <w:t>Договор действует: запросите пункт и событие, с которыми связано требование возврата, и проверьте исполнение своих обязанностей. Договор прекращён: сверьте дату прекращения и итоговые расчёты. При отказе заказчика по ст. 717 ГК РФ отдельно проверяются выполненная часть и предусмотренные этой статьёй убытки; при иных основаниях механически этот порядок не переносится. Расчётный остаток аванса и сумма, юридически подлежащая возврату, должны быть сопоставлены, а не приравнены без проверки.</w:t>
      </w:r>
    </w:p>
    <w:p>
      <w:pPr>
        <w:spacing w:after="60"/>
      </w:pPr>
      <w:hyperlink r:id="rId10">
        <w:r>
          <w:rPr>
            <w:sz w:val="18"/>
            <w:color w:val="806238"/>
            <w:u w:val="single"/>
          </w:rPr>
          <w:t>ГК РФ, ст. 453, пп. 2–4 — последствия и момент прекращения</w:t>
        </w:r>
      </w:hyperlink>
    </w:p>
    <w:p>
      <w:pPr>
        <w:spacing w:after="60"/>
      </w:pPr>
      <w:hyperlink r:id="rId11">
        <w:r>
          <w:rPr>
            <w:sz w:val="18"/>
            <w:color w:val="806238"/>
            <w:u w:val="single"/>
          </w:rPr>
          <w:t>ГК РФ, ст. 717 — отказ заказчика: выполненная часть и убытки</w:t>
        </w:r>
      </w:hyperlink>
    </w:p>
    <w:p>
      <w:pPr>
        <w:spacing w:after="60"/>
      </w:pPr>
      <w:hyperlink r:id="rId12">
        <w:r>
          <w:rPr>
            <w:sz w:val="18"/>
            <w:color w:val="806238"/>
            <w:u w:val="single"/>
          </w:rPr>
          <w:t>ГК РФ, ст. 711, п. 2 — основание требовать аванс</w:t>
        </w:r>
      </w:hyperlink>
    </w:p>
    <w:p>
      <w:pPr>
        <w:keepNext/>
      </w:pPr>
      <w:r>
        <w:rPr>
          <w:b/>
          <w:sz w:val="20"/>
        </w:rPr>
        <w:t>Помощь по комплекту</w:t>
      </w:r>
    </w:p>
    <w:p>
      <w:r>
        <w:rPr>
          <w:b w:val="0"/>
          <w:sz w:val="18"/>
        </w:rPr>
        <w:t>Вопрос по заполнению или ошибка: nastoronepodryadchika@yandex.ru. Укажите P8, редакцию 21.10.2026, файл и пункт; для таблицы — лист и ячейку. Пример направляйте без персональных данных и коммерческих реквизитов.</w:t>
      </w:r>
    </w:p>
    <w:p>
      <w:pPr>
        <w:spacing w:after="60"/>
      </w:pPr>
      <w:hyperlink r:id="rId13">
        <w:r>
          <w:rPr>
            <w:sz w:val="18"/>
            <w:color w:val="806238"/>
            <w:u w:val="single"/>
          </w:rPr>
          <w:t>Написать вопрос или сообщить об ошибке</w:t>
        </w:r>
      </w:hyperlink>
    </w:p>
    <w:sectPr w:rsidR="00FC693F" w:rsidRPr="0006063C" w:rsidSect="00034616">
      <w:footerReference w:type="default" r:id="rId9"/>
      <w:pgSz w:w="11906" w:h="16838"/>
      <w:pgMar w:top="1020" w:right="1134" w:bottom="96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AE8031"/>
        <w:sz w:val="16"/>
      </w:rPr>
      <w:t>НА СТОРОНЕ ПОДРЯДЧИКА  /  P8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rial" w:hAnsi="Arial"/>
      <w:color w:val="2B3239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www.consultant.ru/document/cons_doc_LAW_5142/171354679ab394c223ca4c93d83127aada78450e/" TargetMode="External"/><Relationship Id="rId11" Type="http://schemas.openxmlformats.org/officeDocument/2006/relationships/hyperlink" Target="https://www.consultant.ru/document/cons_doc_LAW_9027/cc2aa4a0762dd07bb86c13ab9666796f236ec336/" TargetMode="External"/><Relationship Id="rId12" Type="http://schemas.openxmlformats.org/officeDocument/2006/relationships/hyperlink" Target="https://www.consultant.ru/document/cons_doc_LAW_9027/46561f5271883fcf47f3e9859d3a59eb56bfcd96/" TargetMode="External"/><Relationship Id="rId13" Type="http://schemas.openxmlformats.org/officeDocument/2006/relationships/hyperlink" Target="mailto:nastoronepodryadchika@yandex.ru?subject=P8%20-%20ques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