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AE8031"/>
          <w:sz w:val="32"/>
        </w:rPr>
        <w:t>Если срок заявления требования предполагается пропущенным</w:t>
      </w:r>
    </w:p>
    <w:p>
      <w:r>
        <w:rPr>
          <w:b/>
          <w:color w:val="AE8031"/>
          <w:sz w:val="22"/>
        </w:rPr>
        <w:t>Пересчитайте срок</w:t>
      </w:r>
    </w:p>
    <w:p>
      <w:r>
        <w:t>1. Сверьте ИНН, дело, процедуру и публикацию. Разделите дату судебного акта, ЕФРСБ и дату официального опубликования по применимой норме.</w:t>
      </w:r>
    </w:p>
    <w:p>
      <w:r>
        <w:t>2. При наблюдении проверьте 30 календарных дней от публикации для участия в первом собрании. После этого срока требование рассматривается после введения следующей процедуры — само истечение 30 дней не прекращает долг (ст. 71, пп. 1, 7). При внешнем управлении предъявление возможно в любой момент процедуры (ст. 100, п. 1).</w:t>
      </w:r>
    </w:p>
    <w:p>
      <w:r>
        <w:t>3. При конкурсном производстве проверьте два календарных месяца от публикации о признании банкротом и открытии конкурсного производства. При пропуске подайте вместе с требованием мотивированное ходатайство о восстановлении: укажите препятствие, период его действия, дату устранения и подтверждения. Восстановление решает суд. При поздней подаче или отказе в восстановлении действует порядок п. 4 ст. 142 — удовлетворение за счёт имущества, оставшегося после расчётов с включёнными кредиторами, с предусмотренными законом исключениями.</w:t>
      </w:r>
    </w:p>
    <w:p>
      <w:r>
        <w:rPr>
          <w:b/>
          <w:color w:val="AE8031"/>
          <w:sz w:val="22"/>
        </w:rPr>
        <w:t>Документы для решения</w:t>
      </w:r>
    </w:p>
    <w:p>
      <w:r>
        <w:t>4. Соберите договор, акты, доказательства сдачи и оплаты, публикацию, судебные акты, расчёт срока и переписку. Проверьте поручительство, гарантию и иное обеспечение отдельными документами.</w:t>
      </w:r>
    </w:p>
    <w:p>
      <w:r>
        <w:t>5. Зафиксируйте дату обнаружения пропуска и без промедления подготовьте выбранное процессуальное действие. Для ходатайства составьте хронологию и опись доказательств уважительных причин; укажите просьбу признать требование заявленным в срок по п. 1 ст. 142. Переписку с управляющим ведите параллельно с подачей в суд, а не вместо неё.</w:t>
      </w:r>
    </w:p>
    <w:p>
      <w:r>
        <w:rPr>
          <w:b/>
          <w:color w:val="AE8031"/>
          <w:sz w:val="22"/>
        </w:rPr>
        <w:t>Контроль</w:t>
      </w:r>
    </w:p>
    <w:p>
      <w:r>
        <w:t>Ответственный {{...}}; дата публикации {{...}}; расчёт предельной даты {{...}}; источник нормы {{...}}; дата передачи пакета {{...}}.</w:t>
      </w:r>
    </w:p>
    <w:p>
      <w:pPr>
        <w:keepNext/>
      </w:pPr>
      <w:r>
        <w:rPr>
          <w:b/>
          <w:sz w:val="20"/>
        </w:rPr>
        <w:t>Пример проверки календаря</w:t>
      </w:r>
    </w:p>
    <w:p>
      <w:r>
        <w:rPr>
          <w:b w:val="0"/>
          <w:sz w:val="18"/>
        </w:rPr>
        <w:t>Условная официальная публикация об открытии конкурсного производства — 20.08.2026; два календарных месяца истекают 20.10.2026, а не 19.10.2026 как при прибавлении 60 дней. Внутренняя контрольная дата — 16.10.2026. В своём деле дополнительно проверьте перенос, если последний день нерабочий, и момент завершения электронной подачи. Дата из примера не заменяет расчёт по своему делу.</w:t>
      </w:r>
    </w:p>
    <w:p>
      <w:pPr>
        <w:keepNext/>
      </w:pPr>
      <w:r>
        <w:rPr>
          <w:b/>
          <w:sz w:val="20"/>
        </w:rPr>
        <w:t>Нормативные основания · проверено 21.10.2026</w:t>
      </w:r>
    </w:p>
    <w:p>
      <w:pPr>
        <w:spacing w:after="60"/>
      </w:pPr>
      <w:hyperlink r:id="rId10">
        <w:r>
          <w:rPr>
            <w:color w:val="806238"/>
            <w:sz w:val="18"/>
            <w:u w:val="single"/>
          </w:rPr>
          <w:t>Закон № 127-ФЗ, ст. 71, пп. 1, 7 — позднее требование при наблюдении</w:t>
        </w:r>
      </w:hyperlink>
    </w:p>
    <w:p>
      <w:pPr>
        <w:spacing w:after="60"/>
      </w:pPr>
      <w:hyperlink r:id="rId11">
        <w:r>
          <w:rPr>
            <w:color w:val="806238"/>
            <w:sz w:val="18"/>
            <w:u w:val="single"/>
          </w:rPr>
          <w:t>Закон № 127-ФЗ, ст. 100, п. 1 — внешнее управление</w:t>
        </w:r>
      </w:hyperlink>
    </w:p>
    <w:p>
      <w:pPr>
        <w:spacing w:after="60"/>
      </w:pPr>
      <w:hyperlink r:id="rId12">
        <w:r>
          <w:rPr>
            <w:color w:val="806238"/>
            <w:sz w:val="18"/>
            <w:u w:val="single"/>
          </w:rPr>
          <w:t>Закон № 127-ФЗ, ст. 142, пп. 1, 4 — восстановление и последствия</w:t>
        </w:r>
      </w:hyperlink>
    </w:p>
    <w:p>
      <w:pPr>
        <w:spacing w:after="60"/>
      </w:pPr>
      <w:hyperlink r:id="rId13">
        <w:r>
          <w:rPr>
            <w:color w:val="806238"/>
            <w:sz w:val="18"/>
            <w:u w:val="single"/>
          </w:rPr>
          <w:t>Пленум ВС РФ № 40, п. 63 — примеры уважительных причин</w:t>
        </w:r>
      </w:hyperlink>
    </w:p>
    <w:p>
      <w:pPr>
        <w:spacing w:after="60"/>
      </w:pPr>
      <w:hyperlink r:id="rId14">
        <w:r>
          <w:rPr>
            <w:sz w:val="18"/>
            <w:color w:val="806238"/>
            <w:u w:val="single"/>
          </w:rPr>
          <w:t>АПК РФ, ст. 114, ч. 2, 4–7 — окончание срока и момент совершения действия</w:t>
        </w:r>
      </w:hyperlink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AE8031"/>
        <w:sz w:val="16"/>
      </w:rPr>
      <w:t>НА СТОРОНЕ ПОДРЯДЧИКА  /  P9  /  21.10.2026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consultant.ru/document/cons_doc_LAW_39331/c370b2fc50112a9bb07b3b319845491810f93363/" TargetMode="External"/><Relationship Id="rId11" Type="http://schemas.openxmlformats.org/officeDocument/2006/relationships/hyperlink" Target="https://www.consultant.ru/document/cons_doc_LAW_39331/0276ed4818d87da03244f67a91c04fca99e1913b/" TargetMode="External"/><Relationship Id="rId12" Type="http://schemas.openxmlformats.org/officeDocument/2006/relationships/hyperlink" Target="https://www.consultant.ru/document/cons_doc_LAW_39331/9f7dd5ffc46b7e05caec5829696c1917d6c76de6/" TargetMode="External"/><Relationship Id="rId13" Type="http://schemas.openxmlformats.org/officeDocument/2006/relationships/hyperlink" Target="https://www.garant.ru/products/ipo/prime/doc/411072155/" TargetMode="External"/><Relationship Id="rId14" Type="http://schemas.openxmlformats.org/officeDocument/2006/relationships/hyperlink" Target="https://www.consultant.ru/document/cons_doc_LAW_37800/72494091afcaad8e234e6616684dbb81bf9f612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