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52" w:lineRule="auto"/>
        <w:pBdr>
          <w:bottom w:val="single" w:sz="9" w:space="3" w:color="977A48"/>
        </w:pBdr>
      </w:pPr>
      <w:r>
        <w:rPr>
          <w:rFonts w:ascii="Arial" w:hAnsi="Arial"/>
          <w:b/>
          <w:color w:val="303438"/>
          <w:sz w:val="32"/>
        </w:rPr>
        <w:t>Первый день до подписания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Расчёт за работы жилым или офисным помещением, машино-местом либо правами на объект: зафиксировать условия, запросить документы и принять решение после проверки.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1. Запишите предложение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Форма передачи, объект, правообладатель, стоимость, доля работ и срок оформления. Для готового объекта проверьте ЕГРН и обременения; при уступке по ДДУ — регистрацию договора и стадию передачи.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2. Зафиксируйте условия уступки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Выпишите дословно пункт об эскроу, цене уступки и переводе долга. Сохраните редакцию и номер пункта. При подписанном передаточном акте либо неподтверждённой стадии — СТОП до определения формы сделки.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3. Направьте два запроса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Используйте словарь 50. По строящемуся объекту направьте запрос 53; при уступке существующего ДДУ — запрос 54 о внесённых средствах и остатке обязательства. По новому ДДУ до подписания проверьте источник денег и порядок пополнения после регистрации, а затем сохраните банковское подтверждение. По готовому объекту проверьте право и обременения по ЕГРН. Зафиксируйте адресата, срок ответа и недостающие документы.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4. Подтвердите отправку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Удалите незаполненные поля, зарегистрируйте исходящие номера, сохраните письма, приложения, квитанции и доказательства вручения. Отсутствие ответа не подтверждает оплату эскроу.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5. Ответьте на требование подписать сегодня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Заинтересованы в сделке; решение принимаем после проверки прав, обязательств и денег. При уступке проверяем существующий ДДУ, банковские подтверждения и перевод долга; при новом ДДУ — источник денег и внесение на эскроу после регистрации; по готовому объекту — право и обременения. Начало работ и погашение долга привязываем к документально согласованным условиям.</w:t>
      </w:r>
    </w:p>
    <w:p>
      <w:pPr>
        <w:pStyle w:val="Heading1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6. Перейдите к проверке сделки</w:t>
      </w:r>
    </w:p>
    <w:p>
      <w:pPr>
        <w:spacing w:before="0" w:after="60" w:line="252" w:lineRule="auto"/>
      </w:pPr>
      <w:r>
        <w:rPr>
          <w:rFonts w:ascii="Arial" w:hAnsi="Arial"/>
          <w:color w:val="303438"/>
          <w:sz w:val="18"/>
        </w:rPr>
        <w:t>Откройте алгоритм 51, заполните чек-лист 52, используйте памятку 55. Два и более красных флага — СТОП до документальной проверки, мер защиты, письменного решения руководителя и устранения правовых препятствий.</w:t>
      </w:r>
    </w:p>
    <w:p>
      <w:pPr>
        <w:pStyle w:val="Heading1"/>
        <w:pageBreakBefore w:val="0"/>
        <w:spacing w:before="100" w:after="40" w:line="252" w:lineRule="auto"/>
      </w:pPr>
      <w:r>
        <w:rPr>
          <w:rFonts w:ascii="Arial" w:hAnsi="Arial"/>
          <w:b/>
          <w:color w:val="303438"/>
          <w:sz w:val="20"/>
        </w:rPr>
        <w:t>Ответы на давление контрагента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Предложение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Ответ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Требуется подписать документы в день получения предложения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Рассмотрим подписание после проверки прав на объект, обязательств сторон и условий расчёта.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Справку по эскроу дадим потом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При уступке внесённую сумму и остаток проверяем по банковскому документу. Для нового ДДУ заранее согласуем источник денег; внесение на эскроу выполняется после регистрации.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Начинайте работы, оформим позже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Работы в счёт недвижимости начинаем после согласования документально подтверждённой формы расчёта.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Скидка действует до конца недели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color w:val="303438"/>
                <w:sz w:val="16"/>
              </w:rPr>
              <w:t>Сначала оценим ликвидность, налоги, срок продажи и стоимость финансирования.</w:t>
            </w:r>
          </w:p>
        </w:tc>
      </w:tr>
    </w:tbl>
    <w:p>
      <w:pPr>
        <w:keepNext/>
      </w:pPr>
      <w:r>
        <w:rPr>
          <w:b/>
          <w:sz w:val="20"/>
        </w:rPr>
        <w:t>Нормативные основания · проверено 21.10.2026</w:t>
      </w:r>
    </w:p>
    <w:p>
      <w:pPr>
        <w:spacing w:after="60"/>
      </w:pPr>
      <w:hyperlink r:id="rId11">
        <w:r>
          <w:rPr>
            <w:color w:val="806238"/>
            <w:sz w:val="18"/>
            <w:u w:val="single"/>
          </w:rPr>
          <w:t>Закон № 214-ФЗ, ст. 11 — условия уступки</w:t>
        </w:r>
      </w:hyperlink>
    </w:p>
    <w:p>
      <w:pPr>
        <w:spacing w:after="60"/>
      </w:pPr>
      <w:hyperlink r:id="rId12">
        <w:r>
          <w:rPr>
            <w:color w:val="806238"/>
            <w:sz w:val="18"/>
            <w:u w:val="single"/>
          </w:rPr>
          <w:t>Закон № 214-ФЗ, ст. 15.5, ч. 4 — последовательность оплаты нового ДДУ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765" w:right="1800" w:bottom="765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1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35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1353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sultant.ru/document/cons_doc_LAW_51038/26e3de2d783e453c4faf7fb26c33eecafddc2307/" TargetMode="External"/><Relationship Id="rId12" Type="http://schemas.openxmlformats.org/officeDocument/2006/relationships/hyperlink" Target="https://www.consultant.ru/document/cons_doc_LAW_51038/7e20edcc51ba599c70fb328204e3ac1226e7d9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