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ПЕРВЫЕ ПРИЗНАКИ: что перестать делать, что зафиксировать, что собрать</w:t>
      </w:r>
    </w:p>
    <w:p/>
    <w:p>
      <w:pPr>
        <w:pStyle w:val="Heading1"/>
      </w:pPr>
      <w:r>
        <w:t>О чём этот файл и о чём он не про то</w:t>
      </w:r>
    </w:p>
    <w:p>
      <w:r>
        <w:t>Здесь порядок действий на этапе, когда признаки уже есть, а дела о банкротстве ещё нет: платежи сдвигаются, объяснения становятся общими, в открытых источниках появляются иски и производства, но контрагент ещё отвечает на письма.</w:t>
        <w:br/>
        <w:br/>
        <w:t>Если дело о банкротстве уже возбуждено, порядок другой: денежное требование заявляется в дело, а не отдельным иском, срок считается от публикации, и обычная переписка о долге его не заменяет. Это платный комплект и юрист, а не этот файл. Проверить, есть ли дело, можно в картотеке арбитражных дел и в едином федеральном реестре сведений о банкротстве — сделайте это до того, как читать дальше.</w:t>
      </w:r>
    </w:p>
    <w:p>
      <w:pPr>
        <w:pStyle w:val="Heading1"/>
      </w:pPr>
      <w:r>
        <w:t>Почему это происходит быстро</w:t>
      </w:r>
    </w:p>
    <w:p>
      <w:r>
        <w:t>Застройщики заводят каждый объект под отдельное юридическое лицо. Это не выдумка и не признак недобросовестности: в долевом строительстве требования к застройщику построены так, что под проект создаётся специализированная компания, а средства участников до раскрытия лежат на счетах эскроу и имуществом застройщика не являются. У конструкции есть законная цель — деньги покупателей не смешиваются с прочим оборотом группы.</w:t>
        <w:br/>
        <w:br/>
        <w:t>Следствие для подрядчика от цели не зависит. Договор с вами подписывает юридическое лицо, у которого один объект. Пока объект идёт и финансируется, платежи есть. Когда объект закончен, остановлен или финансирование прервано, источник платежей исчерпан, а другого имущества у этого юридического лица, как правило, нет. Средства на счетах эскроу источником расчётов с подрядчиками не служат.</w:t>
        <w:br/>
        <w:br/>
        <w:t>Компании группы и материнская компания по обязательствам этого юридического лица автоматически не отвечают. Основания привлечь к ответственности других лиц в законе есть — они названы в Гражданском кодексе РФ и в Федеральном законе о несостоятельности (банкротстве), — но устанавливаются судом в отдельном споре и из общего бренда, общего сайта и общего логотипа на заборе не следуют.</w:t>
        <w:br/>
        <w:br/>
        <w:t>Отсюда единственный практический вывод, ради которого написан этот материал: риск ложится на подрядчика по устройству конструкции, а не по чьему-то решению. Проверять надо не бренд застройщика, а то юридическое лицо, которое стоит в реквизитах вашего договора. Название на заборе и название в реквизитах — разные вещи, и второе решает всё. Именно поэтому проверка контрагента делается до подписи: после первого неплатежа она уже ничего не меняет.</w:t>
      </w:r>
    </w:p>
    <w:p>
      <w:pPr>
        <w:pStyle w:val="Heading1"/>
      </w:pPr>
      <w:r>
        <w:t>Правило, из которого следует всё остальное</w:t>
      </w:r>
    </w:p>
    <w:p>
      <w:r>
        <w:t>Долг растёт, пока вы работаете. С момента, когда признаки замечены, ваша задача не «дожать оплату», а перестать увеличивать сумму, которую вы можете потерять. Всё в этом файле — про две вещи: остановить рост долга и превратить сделанное в документы, пока это ещё возможно.</w:t>
      </w:r>
    </w:p>
    <w:p>
      <w:pPr>
        <w:pStyle w:val="Heading1"/>
      </w:pPr>
      <w:r>
        <w:t>Шаг 1. Что перестать делать сегодня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Что перестать</w:t>
            </w:r>
          </w:p>
        </w:tc>
        <w:tc>
          <w:tcPr>
            <w:tcW w:type="dxa" w:w="2880"/>
          </w:tcPr>
          <w:p>
            <w:r>
              <w:t>Почему</w:t>
            </w:r>
          </w:p>
        </w:tc>
        <w:tc>
          <w:tcPr>
            <w:tcW w:type="dxa" w:w="2880"/>
          </w:tcPr>
          <w:p>
            <w:r>
              <w:t>Сделано</w:t>
            </w:r>
          </w:p>
        </w:tc>
      </w:tr>
      <w:tr>
        <w:tc>
          <w:tcPr>
            <w:tcW w:type="dxa" w:w="2880"/>
          </w:tcPr>
          <w:p>
            <w:r>
              <w:t>Выводить новые бригады и технику на объект без оплаты по факту</w:t>
            </w:r>
          </w:p>
        </w:tc>
        <w:tc>
          <w:tcPr>
            <w:tcW w:type="dxa" w:w="2880"/>
          </w:tcPr>
          <w:p>
            <w:r>
              <w:t>Каждая новая смена увеличивает сумму, которая уже под риском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Закупать материал под объект за свой счёт</w:t>
            </w:r>
          </w:p>
        </w:tc>
        <w:tc>
          <w:tcPr>
            <w:tcW w:type="dxa" w:w="2880"/>
          </w:tcPr>
          <w:p>
            <w:r>
              <w:t>Материал, встроенный в чужой объект, обратно не достаётся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Начинать новые этапы и участки, не закрыв предыдущие документами</w:t>
            </w:r>
          </w:p>
        </w:tc>
        <w:tc>
          <w:tcPr>
            <w:tcW w:type="dxa" w:w="2880"/>
          </w:tcPr>
          <w:p>
            <w:r>
              <w:t>Незакрытый объём — это работа, которой формально не было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Подписывать документы, меняющие природу долга: соглашение о зачёте, уступку, отступное, новацию, перевод долга, приём платежа от третьего лица</w:t>
            </w:r>
          </w:p>
        </w:tc>
        <w:tc>
          <w:tcPr>
            <w:tcW w:type="dxa" w:w="2880"/>
          </w:tcPr>
          <w:p>
            <w:r>
              <w:t>Каждый из них меняет ваше положение, и не всегда в вашу пользу; часть таких сделок потом оспаривается. Только через юриста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Соглашаться на перенос оплаты «до ввода объекта» и подобные условия</w:t>
            </w:r>
          </w:p>
        </w:tc>
        <w:tc>
          <w:tcPr>
            <w:tcW w:type="dxa" w:w="2880"/>
          </w:tcPr>
          <w:p>
            <w:r>
              <w:t>Событие, которым вы не управляете, откладывает деньги на неопределённый срок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Соглашаться на замену стороны в договоре на другое юридическое лицо</w:t>
            </w:r>
          </w:p>
        </w:tc>
        <w:tc>
          <w:tcPr>
            <w:tcW w:type="dxa" w:w="2880"/>
          </w:tcPr>
          <w:p>
            <w:r>
              <w:t>Это может быть переход обязательства к компании без активов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Отдавать оригиналы документов без описи и отметки о получении</w:t>
            </w:r>
          </w:p>
        </w:tc>
        <w:tc>
          <w:tcPr>
            <w:tcW w:type="dxa" w:w="2880"/>
          </w:tcPr>
          <w:p>
            <w:r>
              <w:t>Оригинал, отданный «на подпись» и не вернувшийся, — это исчезнувшее доказательство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Работать по устным указаниям и обещаниям оплаты</w:t>
            </w:r>
          </w:p>
        </w:tc>
        <w:tc>
          <w:tcPr>
            <w:tcW w:type="dxa" w:w="2880"/>
          </w:tcPr>
          <w:p>
            <w:r>
              <w:t>Устное обещание не подтверждается ничем и никем не исполняется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Молча уходить с площадки</w:t>
            </w:r>
          </w:p>
        </w:tc>
        <w:tc>
          <w:tcPr>
            <w:tcW w:type="dxa" w:w="2880"/>
          </w:tcPr>
          <w:p>
            <w:r>
              <w:t>Уход без письменного уведомления читается как ваш отказ от договора и даёт повод предъявить претензии вам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r>
        <w:t>Приостановление работ — не самовольный уход. Право приостановить работы и порядок названы в Гражданском кодексе РФ (статья 719), а условия о приостановлении обычно есть и в самом договоре. Приостановка оформляется письменным уведомлением с основанием; применимость к вашей ситуации — вопрос к юристу, а не к шаблону.</w:t>
      </w:r>
    </w:p>
    <w:p>
      <w:pPr>
        <w:pStyle w:val="Heading1"/>
      </w:pPr>
      <w:r>
        <w:t>Шаг 2. Что успеть зафиксировать, пока контрагент отвечает</w:t>
      </w:r>
    </w:p>
    <w:p>
      <w:r>
        <w:t>Это главный раздел файла. Пока переписка идёт, вы можете получить документы, которые потом не получите ни за какие деньги: подписи ставит тот, кто ещё заинтересован в продолжении работ. После первого «мы вам перезвоним» окно закрывается, а после возбуждения дела оно закрывается окончательно.</w:t>
      </w:r>
    </w:p>
    <w:p>
      <w:pPr>
        <w:pStyle w:val="ListNumber"/>
      </w:pPr>
      <w:r>
        <w:t>Закройте документами весь выполненный объём — включая тот, который «закроем в следующем месяце вместе со следующим этапом».</w:t>
      </w:r>
    </w:p>
    <w:p>
      <w:pPr>
        <w:pStyle w:val="ListNumber"/>
      </w:pPr>
      <w:r>
        <w:t>Соберите подписанные акты и справки, а также все документы о приёмке и об устранении замечаний.</w:t>
      </w:r>
    </w:p>
    <w:p>
      <w:pPr>
        <w:pStyle w:val="ListNumber"/>
      </w:pPr>
      <w:r>
        <w:t>Сдайте и получите отметки на исполнительной документации по выполненным работам.</w:t>
      </w:r>
    </w:p>
    <w:p>
      <w:pPr>
        <w:pStyle w:val="ListNumber"/>
      </w:pPr>
      <w:r>
        <w:t>Проведите обмер фактически выполненного объёма и зафиксируйте его актом с участием представителя второй стороны; при отказе — в присутствии свидетелей, с уведомлением о времени обмера, направленным заранее и письменно.</w:t>
      </w:r>
    </w:p>
    <w:p>
      <w:pPr>
        <w:pStyle w:val="ListNumber"/>
      </w:pPr>
      <w:r>
        <w:t>Сделайте фотофиксацию и видеофиксацию выполненного с привязкой к датам, осям и отметкам.</w:t>
      </w:r>
    </w:p>
    <w:p>
      <w:pPr>
        <w:pStyle w:val="ListNumber"/>
      </w:pPr>
      <w:r>
        <w:t>Подпишите акт сверки взаимных расчётов — самый ценный документ этого этапа.</w:t>
      </w:r>
    </w:p>
    <w:p>
      <w:pPr>
        <w:pStyle w:val="ListNumber"/>
      </w:pPr>
      <w:r>
        <w:t>Переведите все устные договорённости в письма: пишите то, о чём договорились, и просите подтвердить.</w:t>
      </w:r>
    </w:p>
    <w:p>
      <w:pPr>
        <w:pStyle w:val="ListNumber"/>
      </w:pPr>
      <w:r>
        <w:t>Зафиксируйте давальческий материал: что получено, что израсходовано, что осталось.</w:t>
      </w:r>
    </w:p>
    <w:p>
      <w:pPr>
        <w:pStyle w:val="ListNumber"/>
      </w:pPr>
      <w:r>
        <w:t>Зафиксируйте своё имущество на площадке: техника, бытовки, оборудование, инструмент, остатки материала — перечень с местами нахождения.</w:t>
      </w:r>
    </w:p>
    <w:p>
      <w:pPr>
        <w:pStyle w:val="ListNumber"/>
      </w:pPr>
      <w:r>
        <w:t>Соберите доверенности лиц, которые подписывали документы с вашей стороны и со стороны контрагента, и проверьте объём полномочий.</w:t>
      </w:r>
    </w:p>
    <w:p>
      <w:pPr>
        <w:pStyle w:val="ListNumber"/>
      </w:pPr>
      <w:r>
        <w:t>Соберите переписку в один архив: письма с входящими номерами, электронную почту, сообщения в мессенджерах с указанием, кто их отправлял.</w:t>
      </w:r>
    </w:p>
    <w:p>
      <w:pPr>
        <w:pStyle w:val="ListNumber"/>
      </w:pPr>
      <w:r>
        <w:t>Направьте запрос о состоянии расчётов (файл 04), пока на письма отвечают.</w:t>
      </w:r>
    </w:p>
    <w:p>
      <w:r>
        <w:t>Порядок в списке не случайный: сначала то, что требует подписи второй стороны, потом то, что вы можете сделать сами. Подпись контрагента дорожает с каждым днём.</w:t>
      </w:r>
    </w:p>
    <w:p>
      <w:pPr>
        <w:pStyle w:val="Heading1"/>
      </w:pPr>
      <w:r>
        <w:t>Шаг 3. Пакет документов: что должно лежать в одной папке</w:t>
      </w:r>
    </w:p>
    <w:p>
      <w:r>
        <w:t>Соберите папку по объекту сейчас, а не когда понадобится. Юрист попросит ровно это, и от полноты папки зависит, сможете ли вы вообще подтвердить размер долга.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Документ</w:t>
            </w:r>
          </w:p>
        </w:tc>
        <w:tc>
          <w:tcPr>
            <w:tcW w:type="dxa" w:w="2160"/>
          </w:tcPr>
          <w:p>
            <w:r>
              <w:t>Зачем понадобится</w:t>
            </w:r>
          </w:p>
        </w:tc>
        <w:tc>
          <w:tcPr>
            <w:tcW w:type="dxa" w:w="2160"/>
          </w:tcPr>
          <w:p>
            <w:r>
              <w:t>Где лежит</w:t>
            </w:r>
          </w:p>
        </w:tc>
        <w:tc>
          <w:tcPr>
            <w:tcW w:type="dxa" w:w="2160"/>
          </w:tcPr>
          <w:p>
            <w:r>
              <w:t>Есть</w:t>
            </w:r>
          </w:p>
        </w:tc>
      </w:tr>
      <w:tr>
        <w:tc>
          <w:tcPr>
            <w:tcW w:type="dxa" w:w="2160"/>
          </w:tcPr>
          <w:p>
            <w:r>
              <w:t>Договор со всеми приложениями и дополнительными соглашениями</w:t>
            </w:r>
          </w:p>
        </w:tc>
        <w:tc>
          <w:tcPr>
            <w:tcW w:type="dxa" w:w="2160"/>
          </w:tcPr>
          <w:p>
            <w:r>
              <w:t>Основание требования, порядок и сроки оплаты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Реквизиты и карточка контрагента, документы о полномочиях подписанта</w:t>
            </w:r>
          </w:p>
        </w:tc>
        <w:tc>
          <w:tcPr>
            <w:tcW w:type="dxa" w:w="2160"/>
          </w:tcPr>
          <w:p>
            <w:r>
              <w:t>Подтверждение того, с кем именно вы в отношениях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Подписанные акты выполненных работ и справки о стоимости</w:t>
            </w:r>
          </w:p>
        </w:tc>
        <w:tc>
          <w:tcPr>
            <w:tcW w:type="dxa" w:w="2160"/>
          </w:tcPr>
          <w:p>
            <w:r>
              <w:t>Подтверждение объёма и суммы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Односторонние акты и доказательства их направления</w:t>
            </w:r>
          </w:p>
        </w:tc>
        <w:tc>
          <w:tcPr>
            <w:tcW w:type="dxa" w:w="2160"/>
          </w:tcPr>
          <w:p>
            <w:r>
              <w:t>Объём, который приняли не подписав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Акт сверки взаимных расчётов</w:t>
            </w:r>
          </w:p>
        </w:tc>
        <w:tc>
          <w:tcPr>
            <w:tcW w:type="dxa" w:w="2160"/>
          </w:tcPr>
          <w:p>
            <w:r>
              <w:t>Письменное признание суммы долга второй стороной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Счета, счета-фактуры, универсальные передаточные документы</w:t>
            </w:r>
          </w:p>
        </w:tc>
        <w:tc>
          <w:tcPr>
            <w:tcW w:type="dxa" w:w="2160"/>
          </w:tcPr>
          <w:p>
            <w:r>
              <w:t>Расчёты и налоговая сторона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Платёжные документы и выписка по расчётам с контрагентом</w:t>
            </w:r>
          </w:p>
        </w:tc>
        <w:tc>
          <w:tcPr>
            <w:tcW w:type="dxa" w:w="2160"/>
          </w:tcPr>
          <w:p>
            <w:r>
              <w:t>Что фактически поступило и когда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Исполнительная документация с отметками о сдаче</w:t>
            </w:r>
          </w:p>
        </w:tc>
        <w:tc>
          <w:tcPr>
            <w:tcW w:type="dxa" w:w="2160"/>
          </w:tcPr>
          <w:p>
            <w:r>
              <w:t>Подтверждение выполнения и качества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Журналы работ, общий и специальные</w:t>
            </w:r>
          </w:p>
        </w:tc>
        <w:tc>
          <w:tcPr>
            <w:tcW w:type="dxa" w:w="2160"/>
          </w:tcPr>
          <w:p>
            <w:r>
              <w:t>Хронология выполнения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Документы о давальческом материале</w:t>
            </w:r>
          </w:p>
        </w:tc>
        <w:tc>
          <w:tcPr>
            <w:tcW w:type="dxa" w:w="2160"/>
          </w:tcPr>
          <w:p>
            <w:r>
              <w:t>Что получено и что израсходовано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Документы о вашем имуществе на площадке</w:t>
            </w:r>
          </w:p>
        </w:tc>
        <w:tc>
          <w:tcPr>
            <w:tcW w:type="dxa" w:w="2160"/>
          </w:tcPr>
          <w:p>
            <w:r>
              <w:t>Что нужно вывезти и что подтверждает принадлежность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Переписка с входящими и исходящими номерами</w:t>
            </w:r>
          </w:p>
        </w:tc>
        <w:tc>
          <w:tcPr>
            <w:tcW w:type="dxa" w:w="2160"/>
          </w:tcPr>
          <w:p>
            <w:r>
              <w:t>Хронология требований и ответов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Уведомления о приостановлении работ, если направлялись</w:t>
            </w:r>
          </w:p>
        </w:tc>
        <w:tc>
          <w:tcPr>
            <w:tcW w:type="dxa" w:w="2160"/>
          </w:tcPr>
          <w:p>
            <w:r>
              <w:t>Основание вашего поведения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Претензии и ответы на них</w:t>
            </w:r>
          </w:p>
        </w:tc>
        <w:tc>
          <w:tcPr>
            <w:tcW w:type="dxa" w:w="2160"/>
          </w:tcPr>
          <w:p>
            <w:r>
              <w:t>Досудебная часть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Судебные акты, если спор уже был</w:t>
            </w:r>
          </w:p>
        </w:tc>
        <w:tc>
          <w:tcPr>
            <w:tcW w:type="dxa" w:w="2160"/>
          </w:tcPr>
          <w:p>
            <w:r>
              <w:t>Подтверждённое требование — отдельный разговор с юристом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Реестр признаков по объекту (файл 02)</w:t>
            </w:r>
          </w:p>
        </w:tc>
        <w:tc>
          <w:tcPr>
            <w:tcW w:type="dxa" w:w="2160"/>
          </w:tcPr>
          <w:p>
            <w:r>
              <w:t>Хронология того, что вы видели и когда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r>
        <w:t>Отдельно: сделайте копии. Оригиналы храните так, чтобы к ним имел доступ не только тот сотрудник, который вёл объект.</w:t>
      </w:r>
    </w:p>
    <w:p>
      <w:pPr>
        <w:pStyle w:val="Heading1"/>
      </w:pPr>
      <w:r>
        <w:t>Шаг 4. Как разговаривать письменно, пока отвечают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Что делать</w:t>
            </w:r>
          </w:p>
        </w:tc>
        <w:tc>
          <w:tcPr>
            <w:tcW w:type="dxa" w:w="2880"/>
          </w:tcPr>
          <w:p>
            <w:r>
              <w:t>Как</w:t>
            </w:r>
          </w:p>
        </w:tc>
        <w:tc>
          <w:tcPr>
            <w:tcW w:type="dxa" w:w="2880"/>
          </w:tcPr>
          <w:p>
            <w:r>
              <w:t>Чего не делать</w:t>
            </w:r>
          </w:p>
        </w:tc>
      </w:tr>
      <w:tr>
        <w:tc>
          <w:tcPr>
            <w:tcW w:type="dxa" w:w="2880"/>
          </w:tcPr>
          <w:p>
            <w:r>
              <w:t>Перевести обещания в письма</w:t>
            </w:r>
          </w:p>
        </w:tc>
        <w:tc>
          <w:tcPr>
            <w:tcW w:type="dxa" w:w="2880"/>
          </w:tcPr>
          <w:p>
            <w:r>
              <w:t>После разговора направляйте письмо: «по итогам разговора понимаем так-то, просим подтвердить»</w:t>
            </w:r>
          </w:p>
        </w:tc>
        <w:tc>
          <w:tcPr>
            <w:tcW w:type="dxa" w:w="2880"/>
          </w:tcPr>
          <w:p>
            <w:r>
              <w:t>Не полагаться на переписку в мессенджерах как на единственный след</w:t>
            </w:r>
          </w:p>
        </w:tc>
      </w:tr>
      <w:tr>
        <w:tc>
          <w:tcPr>
            <w:tcW w:type="dxa" w:w="2880"/>
          </w:tcPr>
          <w:p>
            <w:r>
              <w:t>Спросить о состоянии расчётов</w:t>
            </w:r>
          </w:p>
        </w:tc>
        <w:tc>
          <w:tcPr>
            <w:tcW w:type="dxa" w:w="2880"/>
          </w:tcPr>
          <w:p>
            <w:r>
              <w:t>Обычным письмом с расчётом приложением (файл 04)</w:t>
            </w:r>
          </w:p>
        </w:tc>
        <w:tc>
          <w:tcPr>
            <w:tcW w:type="dxa" w:w="2880"/>
          </w:tcPr>
          <w:p>
            <w:r>
              <w:t>Не превращать первое письмо в претензию: жанр меняется, а деньги ближе не становятся</w:t>
            </w:r>
          </w:p>
        </w:tc>
      </w:tr>
      <w:tr>
        <w:tc>
          <w:tcPr>
            <w:tcW w:type="dxa" w:w="2880"/>
          </w:tcPr>
          <w:p>
            <w:r>
              <w:t>Требовать письменное основание любого вычета</w:t>
            </w:r>
          </w:p>
        </w:tc>
        <w:tc>
          <w:tcPr>
            <w:tcW w:type="dxa" w:w="2880"/>
          </w:tcPr>
          <w:p>
            <w:r>
              <w:t>Со ссылкой на пункт договора и на документ, которым нарушение зафиксировано</w:t>
            </w:r>
          </w:p>
        </w:tc>
        <w:tc>
          <w:tcPr>
            <w:tcW w:type="dxa" w:w="2880"/>
          </w:tcPr>
          <w:p>
            <w:r>
              <w:t>Не соглашаться на устные объяснения «бухгалтерия удержала»</w:t>
            </w:r>
          </w:p>
        </w:tc>
      </w:tr>
      <w:tr>
        <w:tc>
          <w:tcPr>
            <w:tcW w:type="dxa" w:w="2880"/>
          </w:tcPr>
          <w:p>
            <w:r>
              <w:t>Отвечать на односторонние документы</w:t>
            </w:r>
          </w:p>
        </w:tc>
        <w:tc>
          <w:tcPr>
            <w:tcW w:type="dxa" w:w="2880"/>
          </w:tcPr>
          <w:p>
            <w:r>
              <w:t>Письменно и по существу, в разумный срок</w:t>
            </w:r>
          </w:p>
        </w:tc>
        <w:tc>
          <w:tcPr>
            <w:tcW w:type="dxa" w:w="2880"/>
          </w:tcPr>
          <w:p>
            <w:r>
              <w:t>Не молчать: молчание позже читается не в вашу пользу</w:t>
            </w:r>
          </w:p>
        </w:tc>
      </w:tr>
      <w:tr>
        <w:tc>
          <w:tcPr>
            <w:tcW w:type="dxa" w:w="2880"/>
          </w:tcPr>
          <w:p>
            <w:r>
              <w:t>Держать один канал и одного адресата</w:t>
            </w:r>
          </w:p>
        </w:tc>
        <w:tc>
          <w:tcPr>
            <w:tcW w:type="dxa" w:w="2880"/>
          </w:tcPr>
          <w:p>
            <w:r>
              <w:t>Адрес из договора, дублирование на адрес из реестра юридических лиц</w:t>
            </w:r>
          </w:p>
        </w:tc>
        <w:tc>
          <w:tcPr>
            <w:tcW w:type="dxa" w:w="2880"/>
          </w:tcPr>
          <w:p>
            <w:r>
              <w:t>Не вести переписку только через представителя на площадке</w:t>
            </w:r>
          </w:p>
        </w:tc>
      </w:tr>
    </w:tbl>
    <w:p/>
    <w:p>
      <w:r>
        <w:t>Право удержать результат работ до расчёта в законе есть (Гражданский кодекс РФ, статьи 359 и 712), но применимость его к вашей ситуации и последствия — вопрос к юристу. Удержание чужого имущества без основания создаёт вам собственные проблемы, а не рычаг.</w:t>
      </w:r>
    </w:p>
    <w:p>
      <w:pPr>
        <w:pStyle w:val="Heading1"/>
      </w:pPr>
      <w:r>
        <w:t>Шаг 5. Решение о продолжении работ</w:t>
      </w:r>
    </w:p>
    <w:p>
      <w:r>
        <w:t>Признаки замечены, документы собираются. Остаётся вопрос, работать ли дальше. Ответ не универсальный: иногда продолжение оправдано, потому что остановка обнуляет уже вложенное. Решение принимается по цифрам, а не по настроению.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Что посчитать</w:t>
            </w:r>
          </w:p>
        </w:tc>
        <w:tc>
          <w:tcPr>
            <w:tcW w:type="dxa" w:w="4320"/>
          </w:tcPr>
          <w:p>
            <w:r>
              <w:t>Ваше значение</w:t>
            </w:r>
          </w:p>
        </w:tc>
      </w:tr>
      <w:tr>
        <w:tc>
          <w:tcPr>
            <w:tcW w:type="dxa" w:w="4320"/>
          </w:tcPr>
          <w:p>
            <w:r>
              <w:t>Сумма, не закрытая документами на сегодня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Сумма, закрытая документами, но не оплаченная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Ваши вложения, которые не вернутся при остановке (материал, мобилизация)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Сколько добавится к сумме под риском за следующий месяц работы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Что даёт продолжение работ: подпись под чем именно вы получите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Сумма, потеря которой не остановит вашу компанию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Решение и дата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Строка «что даёт продолжение работ» — ключевая. Работать дальше имеет смысл, когда это приносит документ: подписанный акт, закрытый этап, акт сверки. Работа, за которую вы не получаете ни денег, ни подписи, увеличивает потерю и больше ничего.</w:t>
      </w:r>
    </w:p>
    <w:p>
      <w:pPr>
        <w:pStyle w:val="Heading1"/>
      </w:pPr>
      <w:r>
        <w:t>Шаг 6. Если дело о банкротстве возбуждено</w:t>
      </w:r>
    </w:p>
    <w:p>
      <w:r>
        <w:t>С этого момента порядок меняется полностью, и меняется он не постепенно. Денежное требование заявляется в дело, а не отдельным иском. Срок для заявления требования считается от публикации сведений, а не от того момента, когда вы узнали, и он не восстанавливается на общих основаниях — конкретное значение срока и норма, по которой он считается, проверяются по действующей редакции Федерального закона о несостоятельности (банкротстве) на дату, а не берутся из чьего-либо пересказа.</w:t>
        <w:br/>
        <w:br/>
        <w:t>Что делать в этот момент своими силами: не подписывать ничего, что меняет природу долга, собрать пакет по шагу 3, найти сведения о деле и об управляющем в открытых источниках и идти к юристу. Порядок заявления требования, состав заявления, переписка с арбитражным управляющим и варианты при пропуске срока — платный комплект и юрист.</w:t>
      </w:r>
    </w:p>
    <w:p>
      <w:pPr>
        <w:pStyle w:val="Heading1"/>
      </w:pPr>
      <w:r>
        <w:t>Когда требуется разбор ситуации</w:t>
      </w:r>
    </w:p>
    <w:p>
      <w:r>
        <w:t>Юрист нужен, когда в отношении второй стороны возбуждено дело о банкротстве, когда вам предлагают подписать документ, меняющий природу долга (зачёт, уступку, отступное, новацию, соглашение о переводе долга, приём платежа от третьего лица), когда идёт спор об объёме и качестве работ и когда решается вопрос об ответственности других лиц по долгам вашего контрагента.</w:t>
      </w:r>
    </w:p>
    <w:p>
      <w:pPr>
        <w:pStyle w:val="Heading1"/>
      </w:pPr>
      <w:r>
        <w:t>🔗 Переход к платному комплекту</w:t>
      </w:r>
    </w:p>
    <w:p>
      <w:r>
        <w:t/>
        <w:br/>
        <w:br/>
        <w:t/>
        <w:br/>
        <w:t/>
        <w:br/>
        <w:t>
</w:t>
        <w:br/>
        <w:br/>
        <w:t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