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92E33"/>
          <w:sz w:val="34"/>
        </w:rPr>
        <w:t>ЧЕК-ЛИСТ: Что проверить ДО начала допработ</w:t>
      </w:r>
    </w:p>
    <w:p>
      <w:pPr>
        <w:pStyle w:val="Heading1"/>
      </w:pPr>
      <w:r>
        <w:t>Перед началом любых допработ ответьте на 7 вопросов</w:t>
      </w:r>
    </w:p>
    <w:p>
      <w:pPr>
        <w:pStyle w:val="ListNumber"/>
      </w:pPr>
      <w:r>
        <w:t>Есть ли письменное поручение заказчика на допобъем? (приказ, письмо, протокол совещания)</w:t>
      </w:r>
    </w:p>
    <w:p>
      <w:pPr>
        <w:pStyle w:val="ListNumber"/>
      </w:pPr>
      <w:r>
        <w:t>Подписано ли соглашение об изменении объемов / сроков / стоимости?</w:t>
      </w:r>
    </w:p>
    <w:p>
      <w:pPr>
        <w:pStyle w:val="ListNumber"/>
      </w:pPr>
      <w:r>
        <w:t>Есть ли письменное подтверждение цены за единицу допработ?</w:t>
      </w:r>
    </w:p>
    <w:p>
      <w:pPr>
        <w:pStyle w:val="ListNumber"/>
      </w:pPr>
      <w:r>
        <w:t>Фиксированы ли сроки выполнения допработ?</w:t>
      </w:r>
    </w:p>
    <w:p>
      <w:pPr>
        <w:pStyle w:val="ListNumber"/>
      </w:pPr>
      <w:r>
        <w:t>Понятно, кто оплачивает материалы для допработ?</w:t>
      </w:r>
    </w:p>
    <w:p>
      <w:pPr>
        <w:pStyle w:val="ListNumber"/>
      </w:pPr>
      <w:r>
        <w:t>Есть ли запись в журнале работ о допобъеме?</w:t>
      </w:r>
    </w:p>
    <w:p>
      <w:pPr>
        <w:pStyle w:val="ListNumber"/>
      </w:pPr>
      <w:r>
        <w:t>Сделаны ли фотофиксации 'до' начала допработ?</w:t>
      </w:r>
    </w:p>
    <w:p>
      <w:pPr>
        <w:pStyle w:val="Heading1"/>
      </w:pPr>
      <w:r>
        <w:t>Если ответ 'НЕТ' хотя бы на один вопрос</w:t>
      </w:r>
    </w:p>
    <w:p>
      <w:r>
        <w:t>Риск неоплаты допработ резко возрастает. Рекомендуем остановиться и зафиксировать условия в письменном виде. Используйте схему фиксации поручения и форму уведомления из этого комплекта.</w:t>
      </w:r>
    </w:p>
    <w:p>
      <w:pPr>
        <w:pStyle w:val="Heading1"/>
      </w:pPr>
      <w:r>
        <w:t>Следующий шаг — оформить условия</w:t>
      </w:r>
    </w:p>
    <w:p>
      <w:pPr>
        <w:pStyle w:val="ListBullet"/>
      </w:pPr>
      <w:r>
        <w:t>Зафиксируйте поручение и согласуйте конкретный объём работ.</w:t>
      </w:r>
    </w:p>
    <w:p>
      <w:pPr>
        <w:pStyle w:val="ListBullet"/>
      </w:pPr>
      <w:r>
        <w:t>Рассчитайте стоимость и отразите влияние на сроки.</w:t>
      </w:r>
    </w:p>
    <w:p>
      <w:pPr>
        <w:pStyle w:val="ListBullet"/>
      </w:pPr>
      <w:r>
        <w:t>Сохраните переписку, фото и документы передачи результата.</w:t>
      </w:r>
    </w:p>
    <w:p>
      <w:pPr>
        <w:pStyle w:val="Heading1"/>
      </w:pPr>
      <w:r>
        <w:t>🔗 Переход к полному комплекту</w:t>
      </w:r>
    </w:p>
    <w:p>
      <w:r>
        <w:t>Комплект «Система оформления и получения оплаты за дополнительные работы» включает: формы поручения, согласования объёма, расчёт стоимости, журнал и соглашения о цене и сроке.</w:t>
        <w:br/>
        <w:br/>
        <w:t>Стоимость: 24 900 ₽</w:t>
        <w:br/>
        <w:t>Страница комплекта: https://nastoronepodryadchika.ru/products/p2-dopolnitelnye-raboty.html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806F4E"/>
        <w:sz w:val="16"/>
      </w:rPr>
      <w:t>На стороне подрядчика  •  nastoronepodryadchika.ru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63C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92E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rial" w:hAnsi="Arial"/>
      <w:b/>
      <w:color w:val="292E33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