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Алгоритм: проверка расчёта метрами до входа</w:t>
      </w:r>
    </w:p>
    <w:p>
      <w:pPr>
        <w:pStyle w:val="Subtitle"/>
        <w:keepLines/>
      </w:pPr>
      <w:r>
        <w:t>Комплект «Расчёт метрами: проверка до подписи». Шесть шагов до подписания договора подряда и любых бумаг по метрам.</w:t>
      </w:r>
    </w:p>
    <w:p>
      <w:pPr>
        <w:pStyle w:val="Heading2"/>
        <w:keepLines/>
      </w:pPr>
      <w:r>
        <w:t>Назначение</w:t>
      </w:r>
    </w:p>
    <w:p>
      <w:pPr>
        <w:keepLines/>
      </w:pPr>
      <w:r>
        <w:t>Пошаговый порядок проверки предложения «рассчитаемся квартирами» до подписания договора подряда и любых бумаг по метрам. Отвечает на один вопрос: чем на самом деле платят — оплаченной квартирой или долгом за неё.</w:t>
      </w:r>
    </w:p>
    <w:p>
      <w:pPr>
        <w:pStyle w:val="Heading2"/>
        <w:keepLines/>
      </w:pPr>
      <w:r>
        <w:t>Когда применяется</w:t>
      </w:r>
    </w:p>
    <w:p>
      <w:pPr>
        <w:keepLines/>
      </w:pPr>
      <w:r>
        <w:t>Заказчик или застройщик предлагает оплатить работы (полностью или частично) объектами долевого участия: уступкой прав по ДДУ, ДДУ напрямую на подрядчика, «квартирой после ввода». Особенно — когда предложение сопровождается скидкой от цены метра: скидка это цена риска, и алгоритм помогает понять какого.</w:t>
      </w:r>
    </w:p>
    <w:p>
      <w:pPr>
        <w:pStyle w:val="Heading2"/>
        <w:keepLines/>
      </w:pPr>
      <w:r>
        <w:t>Граница применения</w:t>
      </w:r>
    </w:p>
    <w:p>
      <w:pPr>
        <w:keepLines/>
      </w:pPr>
      <w:r>
        <w:t>При отметке «→ юрист» получите правовую оценку до подписания документов. Алгоритм не запрещает расчёт метрами: он делает видимым, что именно предлагают, и переводит решение из «по старой памяти» в решение по проверенным фактам.</w:t>
      </w:r>
    </w:p>
    <w:p>
      <w:pPr>
        <w:pStyle w:val="Heading2"/>
        <w:keepLines/>
      </w:pPr>
      <w:r>
        <w:t>Шаг 1. Назвать форму сделки</w:t>
      </w:r>
    </w:p>
    <w:p>
      <w:pPr>
        <w:keepLines/>
      </w:pPr>
      <w:r>
        <w:t>Выясните и запишите, что именно предлагают оформить:</w:t>
      </w:r>
    </w:p>
    <w:p>
      <w:pPr>
        <w:keepLines/>
        <w:ind w:left="283" w:hanging="142"/>
      </w:pPr>
      <w:r>
        <w:t>— ДДУ напрямую на подрядчика;</w:t>
      </w:r>
    </w:p>
    <w:p>
      <w:pPr>
        <w:keepLines/>
        <w:ind w:left="283" w:hanging="142"/>
      </w:pPr>
      <w:r>
        <w:t>— уступка прав по ДДУ от третьего лица (чья это ДДУ — аффилированное физлицо? юрлицо застройщика?);</w:t>
      </w:r>
    </w:p>
    <w:p>
      <w:pPr>
        <w:keepLines/>
        <w:ind w:left="283" w:hanging="142"/>
      </w:pPr>
      <w:r>
        <w:t>— предварительный договор / соглашение «квартира после ввода»;</w:t>
      </w:r>
    </w:p>
    <w:p>
      <w:pPr>
        <w:keepLines/>
        <w:ind w:left="283" w:hanging="142"/>
      </w:pPr>
      <w:r>
        <w:t>— зачёт встречных требований после регистрации ДДУ. Результат шага: названная форма. «Потом оформим» формой не является — работы без оформленной формы расчёта это работы в долг без документов о долге.</w:t>
      </w:r>
    </w:p>
    <w:p>
      <w:pPr>
        <w:keepLines/>
      </w:pPr>
      <w:r>
        <w:t>Развилка: предварительный договор или устная договорённость «после ввода» → стоп, → юрист.</w:t>
      </w:r>
    </w:p>
    <w:p>
      <w:pPr>
        <w:keepLines/>
      </w:pPr>
      <w:r>
        <w:t>До регистрации права требования у подрядчика нет ничего.</w:t>
      </w:r>
    </w:p>
    <w:p>
      <w:pPr>
        <w:pStyle w:val="Heading2"/>
        <w:keepLines/>
      </w:pPr>
      <w:r>
        <w:t>Шаг 2. Проверить, оплачен ли ДДУ, который передают</w:t>
      </w:r>
    </w:p>
    <w:p>
      <w:pPr>
        <w:keepLines/>
      </w:pPr>
      <w:r>
        <w:t>Ключевой шаг. При эскроу-модели сделка участия в долевом строительстве считается оплаченной, когда счёт эскроу открыт и пополнен на сумму, указанную в договоре (проверьте действующую редакцию 214-ФЗ — в этот файл нормы намеренно не переписаны).</w:t>
      </w:r>
    </w:p>
    <w:p>
      <w:pPr>
        <w:keepLines/>
        <w:ind w:left="283" w:hanging="142"/>
      </w:pPr>
      <w:r>
        <w:t>— Запросите по передаваемому ДДУ: открыт ли счёт эскроу, в каком банке, пополнен ли, на какую сумму. Подтверждение — справка или выписка банка, не письмо застройщика. Форма — «Запрос о состоянии счёта эскроу по передаваемому ДДУ» из этого комплекта.</w:t>
      </w:r>
    </w:p>
    <w:p>
      <w:pPr>
        <w:keepLines/>
        <w:ind w:left="283" w:hanging="142"/>
      </w:pPr>
      <w:r>
        <w:t>— Прочитайте в проекте уступки формулировку об обязательствах: переходят ли на нового участника обязанности по внесению средств на счёт эскроу. Как читать этот пункт — памятка «Читаем уступку: пункт об обязательствах по эскроу». Развилка:</w:t>
      </w:r>
    </w:p>
    <w:p>
      <w:pPr>
        <w:keepLines/>
        <w:ind w:left="283" w:hanging="142"/>
      </w:pPr>
      <w:r>
        <w:t>— Эскроу пополнен на сумму договора, уступка передаёт оплаченное право → продолжайте проверку (шаг 3).</w:t>
      </w:r>
    </w:p>
    <w:p>
      <w:pPr>
        <w:keepLines/>
      </w:pPr>
      <w:r>
        <w:t>Эскроу не пополнен, и обязанность внести деньги переходит на подрядчика → это не оплата работ: подрядчик получает не квартиру, а долг за неё.</w:t>
      </w:r>
    </w:p>
    <w:p>
      <w:pPr>
        <w:keepLines/>
      </w:pPr>
      <w:r>
        <w:t>Дальше — только если долг по эскроу гасится зачётом стоимости работ, оформленным письменно, и это подтвердил юрист — с учётом того, что банк и Росреестр могут не признать зачёт оплатой: практика по таким зачётам спорная. Обещание «после ввода выдадим акт, что расчёт произведён полностью» юридической силы против банка и реестра не имеет.</w:t>
      </w:r>
    </w:p>
    <w:p>
      <w:pPr>
        <w:keepLines/>
      </w:pPr>
      <w:r>
        <w:t>Эскроу вообще не открыт → стоп, → юрист.</w:t>
      </w:r>
    </w:p>
    <w:p>
      <w:pPr>
        <w:pStyle w:val="Heading2"/>
        <w:keepLines/>
      </w:pPr>
      <w:r>
        <w:t>Шаг 3. Проверить объект и застройщика</w:t>
      </w:r>
    </w:p>
    <w:p>
      <w:pPr>
        <w:keepLines/>
        <w:ind w:left="283" w:hanging="142"/>
      </w:pPr>
      <w:r>
        <w:t>— ЕИСЖС (наш.дом.рф): проектная декларация, заявленный срок ввода, история переносов срока.</w:t>
      </w:r>
    </w:p>
    <w:p>
      <w:pPr>
        <w:keepLines/>
        <w:ind w:left="283" w:hanging="142"/>
      </w:pPr>
      <w:r>
        <w:t>— Разрешение на строительство: действует ли, до какой даты.</w:t>
      </w:r>
    </w:p>
    <w:p>
      <w:pPr>
        <w:keepLines/>
        <w:ind w:left="283" w:hanging="142"/>
      </w:pPr>
      <w:r>
        <w:t>— kad.arbitr.ru: иски к застройщику, дело о банкротстве.</w:t>
      </w:r>
    </w:p>
    <w:p>
      <w:pPr>
        <w:keepLines/>
        <w:ind w:left="283" w:hanging="142"/>
      </w:pPr>
      <w:r>
        <w:t>— ЕФРСБ / Федресурс: сообщения о намерении подать на банкротство.</w:t>
      </w:r>
    </w:p>
    <w:p>
      <w:pPr>
        <w:keepLines/>
        <w:ind w:left="283" w:hanging="142"/>
      </w:pPr>
      <w:r>
        <w:t>— Свежая выписка ЕГРЮЛ: статус, возраст компании, смена собственника. Письменную фиксацию состояния объекта даёт «Запрос застройщику о статусе объекта» из этого комплекта; собственная проверка по открытым источникам делается независимо от ответа на него.</w:t>
      </w:r>
    </w:p>
    <w:p>
      <w:pPr>
        <w:keepLines/>
      </w:pPr>
      <w:r>
        <w:t>Развилка: срок ввода уже переносился, разрешение на исходе или истекло, дом не принят надзором (ЗОС не выдано) → каждый пункт — самостоятельный красный флаг. Два и больше → входить только с юристом и обеспечением (шаг 6).</w:t>
      </w:r>
    </w:p>
    <w:p>
      <w:pPr>
        <w:pStyle w:val="Heading2"/>
        <w:keepLines/>
      </w:pPr>
      <w:r>
        <w:t>Шаг 4. Проверить состояние проектного финансирования и продаж</w:t>
      </w:r>
    </w:p>
    <w:p>
      <w:pPr>
        <w:keepLines/>
      </w:pPr>
      <w:r>
        <w:t>Банки останавливают проектное финансирование при невыполнении ковенантов</w:t>
      </w:r>
    </w:p>
    <w:p>
      <w:pPr>
        <w:keepLines/>
        <w:ind w:left="283" w:hanging="142"/>
      </w:pPr>
      <w:r>
        <w:t>— темпов строительства и, прежде всего, темпов продаж. Остановка означает: у застройщика нет источника платить деньгами, а квартиры, которыми он «рассчитывается», обеспечивают его долг перед банком.</w:t>
      </w:r>
    </w:p>
    <w:p>
      <w:pPr>
        <w:keepLines/>
        <w:ind w:left="283" w:hanging="142"/>
      </w:pPr>
      <w:r>
        <w:t>— Каким банком открыто проектное финансирование (видно в проектной декларации).</w:t>
      </w:r>
    </w:p>
    <w:p>
      <w:pPr>
        <w:keepLines/>
        <w:ind w:left="283" w:hanging="142"/>
      </w:pPr>
      <w:r>
        <w:t>— Идут ли продажи: число зарегистрированных ДДУ по объекту и динамика за последние месяцы (ЕИСЖС; выписка ЕГРН по земельному участку — ДДУ регистрируются как обременения участка).</w:t>
      </w:r>
    </w:p>
    <w:p>
      <w:pPr>
        <w:keepLines/>
        <w:ind w:left="283" w:hanging="142"/>
      </w:pPr>
      <w:r>
        <w:t>— Косвенные признаки остановки: стройка замедлилась, подрядчики уходят, предложение метров вместо денег само по себе.</w:t>
      </w:r>
    </w:p>
    <w:p>
      <w:pPr>
        <w:keepLines/>
      </w:pPr>
      <w:r>
        <w:t>Развилка: признаки остановленного финансирования → предложение метров читать как способ достроить дом за счёт подрядчика.</w:t>
      </w:r>
    </w:p>
    <w:p>
      <w:pPr>
        <w:keepLines/>
      </w:pPr>
      <w:r>
        <w:t>Дальше — шаги 5 и 6 только с юристом.</w:t>
      </w:r>
    </w:p>
    <w:p>
      <w:pPr>
        <w:pStyle w:val="Heading2"/>
        <w:keepLines/>
      </w:pPr>
      <w:r>
        <w:t>Шаг 5. Посчитать экономику метра</w:t>
      </w:r>
    </w:p>
    <w:p>
      <w:pPr>
        <w:keepLines/>
      </w:pPr>
      <w:r>
        <w:t>Скидка от прайса — не прибыль, пока метр не продан.</w:t>
      </w:r>
    </w:p>
    <w:p>
      <w:pPr>
        <w:keepLines/>
        <w:ind w:left="283" w:hanging="142"/>
      </w:pPr>
      <w:r>
        <w:t>— Реальная цена продажи такой квартиры сегодня: стакан предложений по дому и району, а не прайс застройщика.</w:t>
      </w:r>
    </w:p>
    <w:p>
      <w:pPr>
        <w:keepLines/>
        <w:ind w:left="283" w:hanging="142"/>
      </w:pPr>
      <w:r>
        <w:t>— Срок экспозиции и дисконт быстрой продажи.</w:t>
      </w:r>
    </w:p>
    <w:p>
      <w:pPr>
        <w:keepLines/>
        <w:ind w:left="283" w:hanging="142"/>
      </w:pPr>
      <w:r>
        <w:t>— Налоги при получении и реализации (режим налогообложения подрядчика — посчитайте со своим бухгалтером, в файл числа намеренно не записаны).</w:t>
      </w:r>
    </w:p>
    <w:p>
      <w:pPr>
        <w:keepLines/>
        <w:ind w:left="283" w:hanging="142"/>
      </w:pPr>
      <w:r>
        <w:t>— Стоимость денег на период «работы сданы → квартира продана». Результат шага: сопоставимая цифра — сколько денег и когда приносит метр против суммы работ. Заполняется в «Чек-листе: расчёт метрами вместо денег».</w:t>
      </w:r>
    </w:p>
    <w:p>
      <w:pPr>
        <w:pStyle w:val="Heading2"/>
        <w:keepLines/>
      </w:pPr>
      <w:r>
        <w:t>Шаг 6. Если входить — условия входа</w:t>
      </w:r>
    </w:p>
    <w:p>
      <w:pPr>
        <w:keepLines/>
      </w:pPr>
      <w:r>
        <w:t>Каждое условие снижает конкретный риск из шагов 2–4; формулировки — с юристом:</w:t>
      </w:r>
    </w:p>
    <w:p>
      <w:pPr>
        <w:keepLines/>
        <w:ind w:left="283" w:hanging="142"/>
      </w:pPr>
      <w:r>
        <w:t>— Денежная часть расчёта: {{ДОЛЯ_ДЕНЬГАМИ}} — метрами не более согласованной доли.</w:t>
      </w:r>
    </w:p>
    <w:p>
      <w:pPr>
        <w:keepLines/>
        <w:ind w:left="283" w:hanging="142"/>
      </w:pPr>
      <w:r>
        <w:t>— Право требования передаётся оплаченным: эскроу пополнен до начала работ либо зачёт оформлен одновременно с уступкой, а не «после ввода».</w:t>
      </w:r>
    </w:p>
    <w:p>
      <w:pPr>
        <w:keepLines/>
        <w:ind w:left="283" w:hanging="142"/>
      </w:pPr>
      <w:r>
        <w:t>— В уступке нет перехода обязанности пополнить эскроу — или переход прямо погашен зачётом в том же документе.</w:t>
      </w:r>
    </w:p>
    <w:p>
      <w:pPr>
        <w:keepLines/>
        <w:ind w:left="283" w:hanging="142"/>
      </w:pPr>
      <w:r>
        <w:t>— Графики: передача прав по метрам привязана к закрытию объёмов работ, а не к вводу объекта.</w:t>
      </w:r>
    </w:p>
    <w:p>
      <w:pPr>
        <w:keepLines/>
        <w:ind w:left="283" w:hanging="142"/>
      </w:pPr>
      <w:r>
        <w:t>— Выход: что происходит с расчётом при срыве ввода, отзыве разрешения, остановке финансирования — записано в договоре. Результат: решение входить / не входить принято по заполненному «Чек-листу: расчёт метрами вместо денег», а не по скидке.</w:t>
      </w:r>
    </w:p>
    <w:p>
      <w:pPr>
        <w:pStyle w:val="Heading2"/>
        <w:keepLines/>
      </w:pPr>
      <w:r>
        <w:t>Важно, прочитайте до использования</w:t>
      </w:r>
    </w:p>
    <w:p>
      <w:pPr>
        <w:keepLines/>
      </w:pPr>
      <w:r>
        <w:t>Комплект помогает проверить предложение о расчёте квартирами и подготовить запросы сторонам сделки.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</w:r>
    </w:p>
    <w:p>
      <w:pPr>
        <w:keepLines/>
      </w:pPr>
      <w:r>
        <w:t>Нормативные ссылки сверяйте с действующими редакциями на дату сделки. Условия договора и документы проверяйте применительно к конкретной ситуации.</w:t>
      </w:r>
    </w:p>
    <w:p>
      <w:pPr>
        <w:keepLines/>
      </w:pPr>
      <w:r>
        <w:t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</w:r>
    </w:p>
    <w:p>
      <w:pPr>
        <w:keepLines/>
      </w:pPr>
      <w:r>
        <w:t>Значения нормативных требований сверяйте с действующей редакцией на дату сделки. Сделку с уступкой при пустом или не пополненном счёте эскроу без юриста не подписывать.</w:t>
      </w:r>
    </w:p>
    <w:sectPr w:rsidR="00FC693F" w:rsidRPr="0006063C" w:rsidSect="00034616"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DejaVu Sans" w:hAnsi="DejaVu Sans"/>
      <w:i w:val="0"/>
      <w:color w:val="2C3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7D68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282F3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 w:val="0"/>
      <w:iCs/>
      <w:color w:val="615B52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  <w:rPr>
      <w:rFonts w:ascii="DejaVu Sans" w:hAnsi="DejaVu Sans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