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СРАВНИТЕЛЬНАЯ ТАБЛИЦА: Бесплатный vs Полный комплект</w:t>
      </w:r>
    </w:p>
    <w:p/>
    <w:p>
      <w:pPr>
        <w:pStyle w:val="Heading1"/>
      </w:pPr>
      <w:r>
        <w:t>Сравнение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Возможность</w:t>
            </w:r>
          </w:p>
        </w:tc>
        <w:tc>
          <w:tcPr>
            <w:tcW w:type="dxa" w:w="2160"/>
          </w:tcPr>
          <w:p>
            <w:r>
              <w:t>Бесплатно</w:t>
            </w:r>
          </w:p>
        </w:tc>
        <w:tc>
          <w:tcPr>
            <w:tcW w:type="dxa" w:w="2160"/>
          </w:tcPr>
          <w:p>
            <w:r>
              <w:t>Полный комплект</w:t>
            </w:r>
          </w:p>
        </w:tc>
        <w:tc>
          <w:tcPr>
            <w:tcW w:type="dxa" w:w="2160"/>
          </w:tcPr>
          <w:p>
            <w:r>
              <w:t>Почему это важно</w:t>
            </w:r>
          </w:p>
        </w:tc>
      </w:tr>
      <w:tr>
        <w:tc>
          <w:tcPr>
            <w:tcW w:type="dxa" w:w="2160"/>
          </w:tcPr>
          <w:p>
            <w:r>
              <w:t>Проверочный лист КС</w:t>
            </w:r>
          </w:p>
        </w:tc>
        <w:tc>
          <w:tcPr>
            <w:tcW w:type="dxa" w:w="2160"/>
          </w:tcPr>
          <w:p>
            <w:r>
              <w:t>Базовый</w:t>
            </w:r>
          </w:p>
        </w:tc>
        <w:tc>
          <w:tcPr>
            <w:tcW w:type="dxa" w:w="2160"/>
          </w:tcPr>
          <w:p>
            <w:r>
              <w:t>Расширенный</w:t>
            </w:r>
          </w:p>
        </w:tc>
        <w:tc>
          <w:tcPr>
            <w:tcW w:type="dxa" w:w="2160"/>
          </w:tcPr>
          <w:p>
            <w:r>
              <w:t>Меньше возвратов</w:t>
            </w:r>
          </w:p>
        </w:tc>
      </w:tr>
      <w:tr>
        <w:tc>
          <w:tcPr>
            <w:tcW w:type="dxa" w:w="2160"/>
          </w:tcPr>
          <w:p>
            <w:r>
              <w:t>Алгоритм работы с ИД</w:t>
            </w:r>
          </w:p>
        </w:tc>
        <w:tc>
          <w:tcPr>
            <w:tcW w:type="dxa" w:w="2160"/>
          </w:tcPr>
          <w:p>
            <w:r>
              <w:t>Краткий (7 шагов)</w:t>
            </w:r>
          </w:p>
        </w:tc>
        <w:tc>
          <w:tcPr>
            <w:tcW w:type="dxa" w:w="2160"/>
          </w:tcPr>
          <w:p>
            <w:r>
              <w:t>Детальный (с контрольными точками)</w:t>
            </w:r>
          </w:p>
        </w:tc>
        <w:tc>
          <w:tcPr>
            <w:tcW w:type="dxa" w:w="2160"/>
          </w:tcPr>
          <w:p>
            <w:r>
              <w:t>Системный подход</w:t>
            </w:r>
          </w:p>
        </w:tc>
      </w:tr>
      <w:tr>
        <w:tc>
          <w:tcPr>
            <w:tcW w:type="dxa" w:w="2160"/>
          </w:tcPr>
          <w:p>
            <w:r>
              <w:t>Уведомление о готовности ИД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Готовый шаблон</w:t>
            </w:r>
          </w:p>
        </w:tc>
        <w:tc>
          <w:tcPr>
            <w:tcW w:type="dxa" w:w="2160"/>
          </w:tcPr>
          <w:p>
            <w:r>
              <w:t>Фиксируете факт передачи</w:t>
            </w:r>
          </w:p>
        </w:tc>
      </w:tr>
      <w:tr>
        <w:tc>
          <w:tcPr>
            <w:tcW w:type="dxa" w:w="2160"/>
          </w:tcPr>
          <w:p>
            <w:r>
              <w:t>Акт приемки ИД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Юридически выверенный</w:t>
            </w:r>
          </w:p>
        </w:tc>
        <w:tc>
          <w:tcPr>
            <w:tcW w:type="dxa" w:w="2160"/>
          </w:tcPr>
          <w:p>
            <w:r>
              <w:t>Доказательство передачи</w:t>
            </w:r>
          </w:p>
        </w:tc>
      </w:tr>
      <w:tr>
        <w:tc>
          <w:tcPr>
            <w:tcW w:type="dxa" w:w="2160"/>
          </w:tcPr>
          <w:p>
            <w:r>
              <w:t>Типовые замечания с ответами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15+ ситуаций</w:t>
            </w:r>
          </w:p>
        </w:tc>
        <w:tc>
          <w:tcPr>
            <w:tcW w:type="dxa" w:w="2160"/>
          </w:tcPr>
          <w:p>
            <w:r>
              <w:t>Готовые аргументы</w:t>
            </w:r>
          </w:p>
        </w:tc>
      </w:tr>
      <w:tr>
        <w:tc>
          <w:tcPr>
            <w:tcW w:type="dxa" w:w="2160"/>
          </w:tcPr>
          <w:p>
            <w:r>
              <w:t>Реестр замечаний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автопроверкой статуса</w:t>
            </w:r>
          </w:p>
        </w:tc>
        <w:tc>
          <w:tcPr>
            <w:tcW w:type="dxa" w:w="2160"/>
          </w:tcPr>
          <w:p>
            <w:r>
              <w:t>Не теряете замечания</w:t>
            </w:r>
          </w:p>
        </w:tc>
      </w:tr>
      <w:tr>
        <w:tc>
          <w:tcPr>
            <w:tcW w:type="dxa" w:w="2160"/>
          </w:tcPr>
          <w:p>
            <w:r>
              <w:t>График устранения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% выполнения</w:t>
            </w:r>
          </w:p>
        </w:tc>
        <w:tc>
          <w:tcPr>
            <w:tcW w:type="dxa" w:w="2160"/>
          </w:tcPr>
          <w:p>
            <w:r>
              <w:t>Контролируете сроки</w:t>
            </w:r>
          </w:p>
        </w:tc>
      </w:tr>
      <w:tr>
        <w:tc>
          <w:tcPr>
            <w:tcW w:type="dxa" w:w="2160"/>
          </w:tcPr>
          <w:p>
            <w:r>
              <w:t>Красные флаги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5 признаков необоснованной блокировки</w:t>
            </w:r>
          </w:p>
        </w:tc>
        <w:tc>
          <w:tcPr>
            <w:tcW w:type="dxa" w:w="2160"/>
          </w:tcPr>
          <w:p>
            <w:r>
              <w:t>Распознаете тактику заказчика</w:t>
            </w:r>
          </w:p>
        </w:tc>
      </w:tr>
      <w:tr>
        <w:tc>
          <w:tcPr>
            <w:tcW w:type="dxa" w:w="2160"/>
          </w:tcPr>
          <w:p>
            <w:r>
              <w:t>Служебная записка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Шаблон для руководства</w:t>
            </w:r>
          </w:p>
        </w:tc>
        <w:tc>
          <w:tcPr>
            <w:tcW w:type="dxa" w:w="2160"/>
          </w:tcPr>
          <w:p>
            <w:r>
              <w:t>Быстрое согласование действий</w:t>
            </w:r>
          </w:p>
        </w:tc>
      </w:tr>
    </w:tbl>
    <w:p/>
    <w:p>
      <w:r>
        <w:br/>
        <w:t>Блокировка оплаты - один из самых болезненных сценариев для подрядчика. Полный комплект дает инструменты для профессиональной защиты.</w:t>
      </w:r>
    </w:p>
    <w:p>
      <w:r>
        <w:br/>
        <w:t>Стоимость комплекта: 2 990 ₽</w:t>
        <w:br/>
        <w:t>Стоимость месяца блокировки оплаты: упущенная выгода + пени к банку + риск срыва графика.</w:t>
        <w:br/>
        <w:t>Окупаемость: с первой же блокировки.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