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52" w:lineRule="auto"/>
        <w:pBdr>
          <w:bottom w:val="single" w:sz="9" w:space="3" w:color="977A48"/>
        </w:pBdr>
      </w:pPr>
      <w:r>
        <w:rPr>
          <w:rFonts w:ascii="Arial" w:hAnsi="Arial"/>
          <w:b/>
          <w:color w:val="303438"/>
          <w:sz w:val="32"/>
        </w:rPr>
        <w:t>Первый день до подписания</w:t>
      </w:r>
    </w:p>
    <w:p>
      <w:pPr>
        <w:spacing w:before="0" w:after="60" w:line="252" w:lineRule="auto"/>
      </w:pPr>
      <w:r>
        <w:rPr>
          <w:rFonts w:ascii="Arial" w:hAnsi="Arial"/>
          <w:color w:val="303438"/>
          <w:sz w:val="18"/>
        </w:rPr>
        <w:t>Расчёт за работы жилым или офисным помещением, машино-местом либо правами на объект: зафиксировать условия, запросить документы и принять решение после проверки.</w:t>
      </w:r>
    </w:p>
    <w:p>
      <w:pPr>
        <w:pStyle w:val="Heading1"/>
        <w:spacing w:before="100" w:after="40" w:line="252" w:lineRule="auto"/>
      </w:pPr>
      <w:r>
        <w:rPr>
          <w:rFonts w:ascii="Arial" w:hAnsi="Arial"/>
          <w:b/>
          <w:color w:val="303438"/>
          <w:sz w:val="20"/>
        </w:rPr>
        <w:t>1. Запишите предложение</w:t>
      </w:r>
    </w:p>
    <w:p>
      <w:pPr>
        <w:spacing w:before="0" w:after="60" w:line="252" w:lineRule="auto"/>
      </w:pPr>
      <w:r>
        <w:rPr>
          <w:rFonts w:ascii="Arial" w:hAnsi="Arial"/>
          <w:color w:val="303438"/>
          <w:sz w:val="18"/>
        </w:rPr>
        <w:t>Форма передачи, объект, правообладатель, стоимость, доля работ и срок оформления. Для готового объекта проверьте ЕГРН и обременения; при уступке по ДДУ — регистрацию договора и стадию передачи.</w:t>
      </w:r>
    </w:p>
    <w:p>
      <w:pPr>
        <w:pStyle w:val="Heading1"/>
        <w:spacing w:before="100" w:after="40" w:line="252" w:lineRule="auto"/>
      </w:pPr>
      <w:r>
        <w:rPr>
          <w:rFonts w:ascii="Arial" w:hAnsi="Arial"/>
          <w:b/>
          <w:color w:val="303438"/>
          <w:sz w:val="20"/>
        </w:rPr>
        <w:t>2. Зафиксируйте условия уступки</w:t>
      </w:r>
    </w:p>
    <w:p>
      <w:pPr>
        <w:spacing w:before="0" w:after="60" w:line="252" w:lineRule="auto"/>
      </w:pPr>
      <w:r>
        <w:rPr>
          <w:rFonts w:ascii="Arial" w:hAnsi="Arial"/>
          <w:color w:val="303438"/>
          <w:sz w:val="18"/>
        </w:rPr>
        <w:t>Выпишите дословно пункт об эскроу, цене уступки и переводе долга. Сохраните редакцию и номер пункта. При подписанном передаточном акте либо неподтверждённой стадии — СТОП до определения формы сделки.</w:t>
      </w:r>
    </w:p>
    <w:p>
      <w:pPr>
        <w:pStyle w:val="Heading1"/>
        <w:spacing w:before="100" w:after="40" w:line="252" w:lineRule="auto"/>
      </w:pPr>
      <w:r>
        <w:rPr>
          <w:rFonts w:ascii="Arial" w:hAnsi="Arial"/>
          <w:b/>
          <w:color w:val="303438"/>
          <w:sz w:val="20"/>
        </w:rPr>
        <w:t>3. Направьте два запроса</w:t>
      </w:r>
    </w:p>
    <w:p>
      <w:pPr>
        <w:spacing w:before="0" w:after="60" w:line="252" w:lineRule="auto"/>
      </w:pPr>
      <w:r>
        <w:rPr>
          <w:rFonts w:ascii="Arial" w:hAnsi="Arial"/>
          <w:color w:val="303438"/>
          <w:sz w:val="18"/>
        </w:rPr>
        <w:t>Используйте словарь полей (50). По строящемуся объекту направьте запрос 53; при уступке по ДДУ — запрос 54 о наполнении счёта эскроу. По готовому объекту запросите подтверждения прав и обременений по ЕГРН. Запросите банковское подтверждение поступления денег, сведения о ДДУ, разрешениях, вводе и передаче. Укажите срок и адрес ответа.</w:t>
      </w:r>
    </w:p>
    <w:p>
      <w:pPr>
        <w:pStyle w:val="Heading1"/>
        <w:spacing w:before="100" w:after="40" w:line="252" w:lineRule="auto"/>
      </w:pPr>
      <w:r>
        <w:rPr>
          <w:rFonts w:ascii="Arial" w:hAnsi="Arial"/>
          <w:b/>
          <w:color w:val="303438"/>
          <w:sz w:val="20"/>
        </w:rPr>
        <w:t>4. Подтвердите отправку</w:t>
      </w:r>
    </w:p>
    <w:p>
      <w:pPr>
        <w:spacing w:before="0" w:after="60" w:line="252" w:lineRule="auto"/>
      </w:pPr>
      <w:r>
        <w:rPr>
          <w:rFonts w:ascii="Arial" w:hAnsi="Arial"/>
          <w:color w:val="303438"/>
          <w:sz w:val="18"/>
        </w:rPr>
        <w:t>Удалите незаполненные поля, зарегистрируйте исходящие номера, сохраните письма, приложения, квитанции и доказательства вручения. Отсутствие ответа не подтверждает оплату эскроу.</w:t>
      </w:r>
    </w:p>
    <w:p>
      <w:pPr>
        <w:pStyle w:val="Heading1"/>
        <w:spacing w:before="100" w:after="40" w:line="252" w:lineRule="auto"/>
      </w:pPr>
      <w:r>
        <w:rPr>
          <w:rFonts w:ascii="Arial" w:hAnsi="Arial"/>
          <w:b/>
          <w:color w:val="303438"/>
          <w:sz w:val="20"/>
        </w:rPr>
        <w:t>5. Ответьте на требование подписать сегодня</w:t>
      </w:r>
    </w:p>
    <w:p>
      <w:pPr>
        <w:spacing w:before="0" w:after="60" w:line="252" w:lineRule="auto"/>
      </w:pPr>
      <w:r>
        <w:rPr>
          <w:rFonts w:ascii="Arial" w:hAnsi="Arial"/>
          <w:color w:val="303438"/>
          <w:sz w:val="18"/>
        </w:rPr>
        <w:t>Заинтересованы в сделке, но подписываем после проверки документов банка, стадии передачи и условий уступки. Работы в счёт недвижимости до оформления проверенной формы расчёта не начинаем.</w:t>
      </w:r>
    </w:p>
    <w:p>
      <w:pPr>
        <w:pStyle w:val="Heading1"/>
        <w:spacing w:before="100" w:after="40" w:line="252" w:lineRule="auto"/>
      </w:pPr>
      <w:r>
        <w:rPr>
          <w:rFonts w:ascii="Arial" w:hAnsi="Arial"/>
          <w:b/>
          <w:color w:val="303438"/>
          <w:sz w:val="20"/>
        </w:rPr>
        <w:t>6. Перейдите к проверке сделки</w:t>
      </w:r>
    </w:p>
    <w:p>
      <w:pPr>
        <w:spacing w:before="0" w:after="60" w:line="252" w:lineRule="auto"/>
      </w:pPr>
      <w:r>
        <w:rPr>
          <w:rFonts w:ascii="Arial" w:hAnsi="Arial"/>
          <w:color w:val="303438"/>
          <w:sz w:val="18"/>
        </w:rPr>
        <w:t>Откройте алгоритм 51, заполните чек-лист 52, используйте памятку 55. Два и более красных флага — СТОП до документальной проверки, мер защиты, письменного решения руководителя и устранения правовых препятствий.</w:t>
      </w:r>
    </w:p>
    <w:p>
      <w:pPr>
        <w:pStyle w:val="Heading1"/>
        <w:pageBreakBefore w:val="0"/>
        <w:spacing w:before="100" w:after="40" w:line="252" w:lineRule="auto"/>
      </w:pPr>
      <w:r>
        <w:rPr>
          <w:rFonts w:ascii="Arial" w:hAnsi="Arial"/>
          <w:b/>
          <w:color w:val="303438"/>
          <w:sz w:val="20"/>
        </w:rPr>
        <w:t>Ответы на давление контрагента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Предложение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Ответ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Требуется подписать документы в день получения предложения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Рассмотрим подписание после проверки прав на объект, обязательств сторон и условий расчёта.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Справку по эскроу дадим потом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Запрос уже направлен. До банковского подтверждения оплату ДДУ не считаем проверенной.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Начинайте работы, оформим позже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Работы в счёт недвижимости начинаем после согласования документально подтверждённой формы расчёта.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Скидка действует до конца недели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color w:val="303438"/>
                <w:sz w:val="16"/>
              </w:rPr>
              <w:t>Сначала оценим ликвидность, налоги, срок продажи и стоимость финансирования.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65" w:right="1800" w:bottom="765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3135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1353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1353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