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Lines/>
      </w:pPr>
      <w:r>
        <w:t>Алгоритм проверки расчётов в неденежной форме</w:t>
      </w:r>
    </w:p>
    <w:p>
      <w:pPr>
        <w:pStyle w:val="Subtitle"/>
        <w:keepLines/>
      </w:pPr>
      <w:r>
        <w:t>Комплект «Расчёты в неденежной форме: жилые и офисные помещения, машино-места». Шесть шагов до подписания договора подряда и любых бумаг по метрам.</w:t>
      </w:r>
    </w:p>
    <w:p>
      <w:pPr>
        <w:pStyle w:val="Heading2"/>
        <w:keepLines/>
      </w:pPr>
      <w:r>
        <w:t>Назначение</w:t>
      </w:r>
    </w:p>
    <w:p>
      <w:pPr>
        <w:keepLines/>
      </w:pPr>
      <w:r>
        <w:t>Единый порядок проверки расчётов жилыми и офисными помещениями, машино-местами либо правами на эти объекты до подписания документов. Цель — установить состав передаваемых прав, обязательств и фактическую стоимость расчёта.</w:t>
      </w:r>
    </w:p>
    <w:p>
      <w:pPr>
        <w:pStyle w:val="Heading2"/>
        <w:keepLines/>
      </w:pPr>
      <w:r>
        <w:t>Когда применяется</w:t>
      </w:r>
    </w:p>
    <w:p>
      <w:pPr>
        <w:keepLines/>
      </w:pPr>
      <w:r>
        <w:t>Заказчик предлагает оплатить работы жилым или офисным помещением, машино-местом либо правами на соответствующий объект. Независимо от вида имущества используется одна последовательность проверки. По готовому объекту сверяются права и обременения по ЕГРН; при уступке по ДДУ — документы ДДУ и наполнение счёта эскроу.</w:t>
      </w:r>
    </w:p>
    <w:p>
      <w:pPr>
        <w:pStyle w:val="Heading2"/>
        <w:keepLines/>
      </w:pPr>
      <w:r>
        <w:t>Граница применения</w:t>
      </w:r>
    </w:p>
    <w:p>
      <w:pPr>
        <w:keepLines/>
      </w:pPr>
      <w:r>
        <w:t>Правило комплекта: каждый красный флаг — правовая оценка. Два и более — СТОП: до проверки не подписывайте сделку и не начинайте работы в счёт недвижимости. Возобновление — после документальной проверки рисков, согласования мер защиты, включая обеспечение, и письменного решения руководителя. Правовые препятствия должны быть устранены.</w:t>
      </w:r>
    </w:p>
    <w:p>
      <w:pPr>
        <w:pStyle w:val="Heading2"/>
        <w:keepLines/>
      </w:pPr>
      <w:r>
        <w:t>Шаг 1. Установить правовую форму расчёта</w:t>
      </w:r>
    </w:p>
    <w:p>
      <w:pPr>
        <w:keepLines/>
      </w:pPr>
      <w:r>
        <w:t>Выясните и запишите, что именно предлагают оформить:</w:t>
      </w:r>
    </w:p>
    <w:p>
      <w:pPr>
        <w:keepLines/>
        <w:ind w:left="283" w:hanging="142"/>
      </w:pPr>
      <w:r>
        <w:t>— передача готового помещения или машино-места с регистрацией перехода права;</w:t>
        <w:br/>
        <w:t>— ДДУ напрямую на подрядчика (если применимо);</w:t>
      </w:r>
    </w:p>
    <w:p>
      <w:pPr>
        <w:keepLines/>
        <w:ind w:left="283" w:hanging="142"/>
      </w:pPr>
      <w:r>
        <w:t>— уступка прав по ДДУ от третьего лица (чья это ДДУ — аффилированное физлицо? юрлицо застройщика?);</w:t>
      </w:r>
    </w:p>
    <w:p>
      <w:pPr>
        <w:keepLines/>
        <w:ind w:left="283" w:hanging="142"/>
      </w:pPr>
      <w:r>
        <w:t>— предварительный договор / соглашение «квартира после ввода»;</w:t>
      </w:r>
    </w:p>
    <w:p>
      <w:pPr>
        <w:keepLines/>
        <w:ind w:left="283" w:hanging="142"/>
      </w:pPr>
      <w:r>
        <w:t>— зачёт стоимости работ в счёт цены уступки: отдельно проверьте основание и момент зачёта; если цедент — юридическое лицо, учтите требование об оплате цены уступки после госрегистрации соглашения (ч. 3 ст. 11 Закона № 214-ФЗ). Результат шага: названная форма расчёта. Обещание «потом оформим» не подтверждает оплату.</w:t>
      </w:r>
    </w:p>
    <w:p>
      <w:pPr>
        <w:keepLines/>
      </w:pPr>
      <w:r>
        <w:t>Развилка: предварительный договор или устная договорённость «после ввода» → стоп, → юрист.</w:t>
      </w:r>
    </w:p>
    <w:p>
      <w:pPr>
        <w:keepLines/>
      </w:pPr>
      <w:r>
        <w:t>Уступка права на получение объекта допускается с момента государственной регистрации ДДУ до подписания сторонами передаточного акта или иного документа о передаче объекта (ч. 2 ст. 11 Закона № 214-ФЗ). Передача уже оформлена либо стадия не подтверждена — СТОП до определения применимой формы сделки. Ввод дома сам по себе не означает передачу объекта.</w:t>
      </w:r>
    </w:p>
    <w:p>
      <w:pPr>
        <w:pStyle w:val="Heading2"/>
        <w:keepLines/>
      </w:pPr>
      <w:r>
        <w:t>Шаг 2. Проверить права и исполнение обязательств по объекту</w:t>
      </w:r>
    </w:p>
    <w:p>
      <w:pPr>
        <w:keepLines/>
      </w:pPr>
      <w:r>
        <w:t>Для готового помещения или машино-места проверьте выписку ЕГРН, правообладателя, ограничения и обременения. При уступке по ДДУ дополнительно применяйте ч. 3 ст. 15.4 Закона № 214-ФЗ: обязанность по оплате цены ДДУ исполняется с поступлением средств на счёт эскроу. Открытие счёта без наполнения не подтверждает оплату.</w:t>
      </w:r>
    </w:p>
    <w:p>
      <w:pPr>
        <w:keepLines/>
        <w:ind w:left="283" w:hanging="142"/>
      </w:pPr>
      <w:r>
        <w:t>— Запросите по передаваемому ДДУ: открыт ли счёт эскроу, в каком банке, пополнен ли, на какую сумму. Подтверждение — справка или выписка банка, не письмо застройщика. Форма — «Запрос о наполнении счёта эскроу по передаваемому ДДУ» из этого комплекта.</w:t>
      </w:r>
    </w:p>
    <w:p>
      <w:pPr>
        <w:keepLines/>
        <w:ind w:left="283" w:hanging="142"/>
      </w:pPr>
      <w:r>
        <w:t>— Прочитайте в проекте уступки формулировку об обязательствах: переходят ли на нового участника обязанности по внесению средств на счёт эскроу. Как читать этот пункт — памятка «Читаем уступку: пункт об обязательствах по эскроу». Развилка:</w:t>
      </w:r>
    </w:p>
    <w:p>
      <w:pPr>
        <w:keepLines/>
        <w:ind w:left="283" w:hanging="142"/>
      </w:pPr>
      <w:r>
        <w:t>— Эскроу пополнен на сумму договора, уступка передаёт оплаченное право → продолжайте проверку (шаг 3).</w:t>
      </w:r>
    </w:p>
    <w:p>
      <w:pPr>
        <w:keepLines/>
      </w:pPr>
      <w:r>
        <w:t>Эскроу не пополнен, и обязанность внести деньги переходит на подрядчика → это не оплата работ: подрядчик получает не квартиру, а долг за неё.</w:t>
      </w:r>
    </w:p>
    <w:p>
      <w:pPr>
        <w:keepLines/>
      </w:pPr>
      <w:r>
        <w:t>Зачёт встречных требований между сторонами сам по себе не подтверждает поступление денежных средств на счёт эскроу (ч. 3 ст. 15.4 Закона № 214-ФЗ). Если предлагается зачёт стоимости работ, отдельно проверьте основание, стороны и оформление зачёта, исполнение обязанности по оплате ДДУ и возможность уступки по ст. 11 Закона № 214-ФЗ. Акт о расчёте между сторонами не заменяет подтверждение банка о поступлении средств на эскроу.</w:t>
      </w:r>
    </w:p>
    <w:p>
      <w:pPr>
        <w:keepLines/>
      </w:pPr>
      <w:r>
        <w:t>Эскроу вообще не открыт → стоп, → юрист.</w:t>
      </w:r>
    </w:p>
    <w:p>
      <w:pPr>
        <w:pStyle w:val="Heading2"/>
        <w:keepLines/>
      </w:pPr>
      <w:r>
        <w:t>Шаг 3. Проверить объект и застройщика</w:t>
      </w:r>
    </w:p>
    <w:p>
      <w:pPr>
        <w:keepLines/>
        <w:ind w:left="283" w:hanging="142"/>
      </w:pPr>
      <w:r>
        <w:t>— ЕИСЖС (наш.дом.рф): проектная декларация, заявленный срок ввода, история переносов срока.</w:t>
      </w:r>
    </w:p>
    <w:p>
      <w:pPr>
        <w:keepLines/>
        <w:ind w:left="283" w:hanging="142"/>
      </w:pPr>
      <w:r>
        <w:t>— Разрешение на строительство: действует ли, до какой даты.</w:t>
      </w:r>
    </w:p>
    <w:p>
      <w:pPr>
        <w:keepLines/>
        <w:ind w:left="283" w:hanging="142"/>
      </w:pPr>
      <w:r>
        <w:t>— kad.arbitr.ru: иски к застройщику, дело о банкротстве.</w:t>
      </w:r>
    </w:p>
    <w:p>
      <w:pPr>
        <w:keepLines/>
        <w:ind w:left="283" w:hanging="142"/>
      </w:pPr>
      <w:r>
        <w:t>— ЕФРСБ / Федресурс: сообщения о намерении подать на банкротство.</w:t>
      </w:r>
    </w:p>
    <w:p>
      <w:pPr>
        <w:keepLines/>
        <w:ind w:left="283" w:hanging="142"/>
      </w:pPr>
      <w:r>
        <w:t>— Свежая выписка ЕГРЮЛ: статус, возраст компании, смена собственника. Письменную фиксацию состояния объекта даёт «Запрос застройщику о статусе объекта» из этого комплекта; собственная проверка по открытым источникам делается независимо от ответа на него.</w:t>
      </w:r>
    </w:p>
    <w:p>
      <w:pPr>
        <w:keepLines/>
      </w:pPr>
      <w:r>
        <w:t>Развилка: перенос ввода, истекающее или истёкшее разрешение, неснятые замечания надзора — поводы проверить риски. При двух и более флагах действует СТОП по правилу раздела «Граница применения». Проверка с юристом и наличие обеспечения сами по себе не разрешают подписать сделку.</w:t>
      </w:r>
    </w:p>
    <w:p>
      <w:pPr>
        <w:pStyle w:val="Heading2"/>
        <w:keepLines/>
      </w:pPr>
      <w:r>
        <w:t>Шаг 4. Проверить состояние проектного финансирования и продаж</w:t>
      </w:r>
    </w:p>
    <w:p>
      <w:pPr>
        <w:keepLines/>
      </w:pPr>
      <w:r>
        <w:t>Условия проектного финансирования определяются кредитной документацией конкретного проекта. Финансирование может быть ограничено при нарушении предусмотренных ею условий (ковенантов); наличие, содержание и последствия таких условий нельзя устанавливать только по темпам продаж.</w:t>
      </w:r>
    </w:p>
    <w:p>
      <w:pPr>
        <w:keepLines/>
        <w:ind w:left="283" w:hanging="142"/>
      </w:pPr>
      <w:r>
        <w:t>Проверьте по документам проекта, есть ли ограничения финансирования и какое имущество или права переданы в обеспечение банку. Предложение расчёта квартирами само по себе не доказывает остановку финансирования или отсутствие у застройщика денежных средств.</w:t>
      </w:r>
    </w:p>
    <w:p>
      <w:pPr>
        <w:keepLines/>
        <w:ind w:left="283" w:hanging="142"/>
      </w:pPr>
      <w:r>
        <w:t>— Каким банком открыто проектное финансирование (видно в проектной декларации).</w:t>
      </w:r>
    </w:p>
    <w:p>
      <w:pPr>
        <w:keepLines/>
        <w:ind w:left="283" w:hanging="142"/>
      </w:pPr>
      <w:r>
        <w:t>— Идут ли продажи: число зарегистрированных ДДУ по объекту и динамика за последние месяцы (ЕИСЖС; выписка ЕГРН по земельному участку — ДДУ регистрируются как обременения участка).</w:t>
      </w:r>
    </w:p>
    <w:p>
      <w:pPr>
        <w:keepLines/>
        <w:ind w:left="283" w:hanging="142"/>
      </w:pPr>
      <w:r>
        <w:t>— Сопоставьте признаки риска: замедление строительства, изменения сроков, динамику продаж и предложение метров вместо денег. Это основания для дополнительной проверки, а не доказательства прекращения финансирования.</w:t>
      </w:r>
    </w:p>
    <w:p>
      <w:pPr>
        <w:keepLines/>
      </w:pPr>
      <w:r>
        <w:t>Развилка: при признаках финансовых ограничений запросите подтверждение условий финансирования и обеспечения; оцените, не переносит ли предложенная схема риск недостатка денежных средств на подрядчика.</w:t>
      </w:r>
    </w:p>
    <w:p>
      <w:pPr>
        <w:keepLines/>
      </w:pPr>
      <w:r>
        <w:t>Дальше — шаги 5 и 6 только с юристом.</w:t>
      </w:r>
    </w:p>
    <w:p>
      <w:pPr>
        <w:pStyle w:val="Heading2"/>
        <w:keepLines/>
      </w:pPr>
      <w:r>
        <w:t>Шаг 5. Посчитать экономику метра</w:t>
      </w:r>
    </w:p>
    <w:p>
      <w:pPr>
        <w:keepLines/>
      </w:pPr>
      <w:r>
        <w:t>Скидка от прайса — не прибыль, пока метр не продан.</w:t>
      </w:r>
    </w:p>
    <w:p>
      <w:pPr>
        <w:keepLines/>
        <w:ind w:left="283" w:hanging="142"/>
      </w:pPr>
      <w:r>
        <w:t>— Рыночная стоимость соответствующего помещения или машино-места по сопоставимым предложениям, а не только прайсу застройщика.</w:t>
      </w:r>
    </w:p>
    <w:p>
      <w:pPr>
        <w:keepLines/>
        <w:ind w:left="283" w:hanging="142"/>
      </w:pPr>
      <w:r>
        <w:t>— Срок экспозиции и дисконт быстрой продажи.</w:t>
      </w:r>
    </w:p>
    <w:p>
      <w:pPr>
        <w:keepLines/>
        <w:ind w:left="283" w:hanging="142"/>
      </w:pPr>
      <w:r>
        <w:t>— Налоги при получении и реализации (режим налогообложения подрядчика — посчитайте со своим бухгалтером, в файл числа намеренно не записаны).</w:t>
      </w:r>
    </w:p>
    <w:p>
      <w:pPr>
        <w:keepLines/>
        <w:ind w:left="283" w:hanging="142"/>
      </w:pPr>
      <w:r>
        <w:t>— Стоимость денег на период «работы сданы → квартира продана». Результат шага: сопоставимая цифра — сколько денег и когда приносит метр против суммы работ. Заполняется в «Чек-листе: расчёт метрами вместо денег».</w:t>
      </w:r>
    </w:p>
    <w:p>
      <w:pPr>
        <w:pStyle w:val="Heading2"/>
        <w:keepLines/>
      </w:pPr>
      <w:r>
        <w:t>Шаг 6. Если входить — условия входа</w:t>
      </w:r>
    </w:p>
    <w:p>
      <w:pPr>
        <w:keepLines/>
      </w:pPr>
      <w:r>
        <w:t>Каждое условие снижает конкретный риск из шагов 2–4; формулировки — с юристом:</w:t>
      </w:r>
    </w:p>
    <w:p>
      <w:pPr>
        <w:keepLines/>
        <w:ind w:left="283" w:hanging="142"/>
      </w:pPr>
      <w:r>
        <w:t>— Денежную часть расчёта и долю оплаты метрами зафиксируйте в редактируемом чек-листе 52. Передача прав должна соответствовать согласованным объёмам работ и условиям договора.</w:t>
      </w:r>
    </w:p>
    <w:p>
      <w:pPr>
        <w:keepLines/>
        <w:ind w:left="283" w:hanging="142"/>
      </w:pPr>
      <w:r>
        <w:t>— Передаваемое право проверено на оплату: поступление средств на эскроу подтверждено банком. Если цена ДДУ не оплачена, отдельно проверены условия уступки с одновременным переводом долга по ст. 11 Закона № 214-ФЗ и необходимое согласие кредитора (п. 2 ст. 391 ГК РФ). Зачёт между сторонами не подменяет оплату счёта эскроу.</w:t>
      </w:r>
    </w:p>
    <w:p>
      <w:pPr>
        <w:keepLines/>
        <w:ind w:left="283" w:hanging="142"/>
      </w:pPr>
      <w:r>
        <w:t>— Разделены три обязательства: цена ДДУ на эскроу, цена уступки цеденту и расчёты за работы. Если цедент — юридическое лицо, цена уступки уплачивается после государственной регистрации соглашения (ч. 3 ст. 11 Закона № 214-ФЗ). Для зачёта стоимости работ проверьте момент прекращения обязательства, встречные требования и применимость этого правила к конкретной конструкции до подписания.</w:t>
      </w:r>
    </w:p>
    <w:p>
      <w:pPr>
        <w:keepLines/>
        <w:ind w:left="283" w:hanging="142"/>
      </w:pPr>
      <w:r>
        <w:t>— Графики: передача прав по метрам привязана к закрытию объёмов работ, а не к вводу объекта.</w:t>
      </w:r>
    </w:p>
    <w:p>
      <w:pPr>
        <w:keepLines/>
        <w:ind w:left="283" w:hanging="142"/>
      </w:pPr>
      <w:r>
        <w:t>— Выход: что происходит с расчётом при срыве ввода, отзыве разрешения, остановке финансирования — записано в договоре. Результат: решение входить / не входить принято по заполненному «Чек-листу: расчёт метрами вместо денег», а не по скидке.</w:t>
      </w:r>
    </w:p>
    <w:p>
      <w:pPr>
        <w:pStyle w:val="Heading2"/>
        <w:keepLines/>
      </w:pPr>
      <w:r>
        <w:t>Важно, прочитайте до использования</w:t>
      </w:r>
    </w:p>
    <w:p>
      <w:pPr>
        <w:keepLines/>
      </w:pPr>
      <w:r>
        <w:t>Комплект позволяет проверить расчёт жилыми и офисными помещениями, машино-местами либо правами на них. Результат проверки — документально подтверждённые условия передачи объекта, обязательства сторон и оценка рисков до подписания сделки.</w:t>
      </w:r>
    </w:p>
    <w:p>
      <w:pPr>
        <w:keepLines/>
      </w:pPr>
      <w:r>
        <w:t>До подписания проверьте актуальные документы о правах на объект; при уступке по ДДУ — применимые нормы Закона № 214-ФЗ, уступку и банковские подтверждения.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20" w:right="1191" w:bottom="780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4" w:line="259" w:lineRule="auto"/>
    </w:pPr>
    <w:rPr>
      <w:rFonts w:ascii="DejaVu Sans" w:hAnsi="DejaVu Sans"/>
      <w:i w:val="0"/>
      <w:color w:val="2C333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140"/>
      <w:outlineLvl w:val="0"/>
    </w:pPr>
    <w:rPr>
      <w:rFonts w:asciiTheme="majorHAnsi" w:eastAsiaTheme="majorEastAsia" w:hAnsiTheme="majorHAnsi" w:cstheme="majorBidi"/>
      <w:b/>
      <w:bCs/>
      <w:i w:val="0"/>
      <w:color w:val="30343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140"/>
      <w:outlineLvl w:val="1"/>
    </w:pPr>
    <w:rPr>
      <w:rFonts w:asciiTheme="majorHAnsi" w:eastAsiaTheme="majorEastAsia" w:hAnsiTheme="majorHAnsi" w:cstheme="majorBidi" w:ascii="DejaVu Sans" w:hAnsi="DejaVu Sans"/>
      <w:b/>
      <w:bCs/>
      <w:i w:val="0"/>
      <w:color w:val="30343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977A48"/>
      </w:pBdr>
      <w:spacing w:after="140" w:line="240" w:lineRule="auto" w:before="120"/>
      <w:contextualSpacing/>
    </w:pPr>
    <w:rPr>
      <w:rFonts w:asciiTheme="majorHAnsi" w:eastAsiaTheme="majorEastAsia" w:hAnsiTheme="majorHAnsi" w:cstheme="majorBidi" w:ascii="DejaVu Sans" w:hAnsi="DejaVu Sans"/>
      <w:b/>
      <w:i w:val="0"/>
      <w:color w:val="303438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DejaVu Sans" w:hAnsi="DejaVu Sans"/>
      <w:i w:val="0"/>
      <w:iCs/>
      <w:color w:val="303438"/>
      <w:spacing w:val="15"/>
      <w:sz w:val="2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ind w:left="283"/>
      <w:contextualSpacing/>
    </w:pPr>
    <w:rPr>
      <w:rFonts w:ascii="DejaVu Sans" w:hAnsi="DejaVu Sans"/>
      <w:i w:val="0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