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Памятка по проверке условий уступки прав по ДДУ</w:t>
      </w:r>
    </w:p>
    <w:p>
      <w:pPr>
        <w:pStyle w:val="Subtitle"/>
        <w:keepLines/>
      </w:pPr>
      <w:r>
        <w:t>Комплект «Расчёты в неденежной форме: жилые и офисные помещения, машино-места». На каких формулировках уступка передаёт оплаченное право, а на каких — переводит долг; что показать юристу до подписания.</w:t>
      </w:r>
    </w:p>
    <w:p>
      <w:pPr>
        <w:pStyle w:val="Heading2"/>
        <w:keepLines/>
      </w:pPr>
      <w:r>
        <w:t>Назначение</w:t>
      </w:r>
    </w:p>
    <w:p>
      <w:pPr>
        <w:keepLines/>
      </w:pPr>
      <w:r>
        <w:t>При уступке прав по ДДУ условия об оплате определяют, передаётся ли оплаченное право или одновременно возникает обязанность погасить долг. Памятка позволяет проверить оба варианта формулировок и перечень необходимых подтверждений. Для готовых помещений и машино-мест дополнительно сверяются зарегистрированные права и обременения по ЕГРН. Для оценки конкретного проекта договора привлеките юриста.</w:t>
      </w:r>
    </w:p>
    <w:p>
      <w:pPr>
        <w:pStyle w:val="Heading2"/>
        <w:keepLines/>
      </w:pPr>
      <w:r>
        <w:t>Почему один пункт решает всё</w:t>
      </w:r>
    </w:p>
    <w:p>
      <w:pPr>
        <w:keepLines/>
      </w:pPr>
      <w:r>
        <w:t>По ч. 3 ст. 15.4 Закона № 214-ФЗ обязанность участника по оплате цены ДДУ считается исполненной с момента поступления денег на счёт эскроу. По ч. 1 ст. 11 Закона № 214-ФЗ уступка допускается после уплаты цены ДДУ либо одновременно с переводом долга на нового участника в порядке, установленном ГК РФ. При переводе долга учитывайте необходимость согласия кредитора (п. 2 ст. 391 ГК РФ). Проверьте, какое право и какие обязанности действительно переходят.</w:t>
      </w:r>
    </w:p>
    <w:p>
      <w:pPr>
        <w:pStyle w:val="Heading2"/>
        <w:keepLines/>
      </w:pPr>
      <w:r>
        <w:t>ФОРМУЛИРОВКА А — ПЕРЕХОД ДОЛГА. КРАСНЫЙ ФЛАГ</w:t>
      </w:r>
    </w:p>
    <w:p>
      <w:pPr>
        <w:keepLines/>
      </w:pPr>
      <w:r>
        <w:t>Встречающиеся формулировки:</w:t>
      </w:r>
    </w:p>
    <w:p>
      <w:pPr>
        <w:keepLines/>
      </w:pPr>
      <w:r>
        <w:t>«Все права и обязанности Участника по Договору, включая обязательства по внесению денежных средств на счёт эскроу, переходят к Новому участнику в полном объёме»</w:t>
      </w:r>
    </w:p>
    <w:p>
      <w:pPr>
        <w:keepLines/>
      </w:pPr>
      <w:r>
        <w:t>«Новый участник принимает на себя обязанность по уплате цены Договора в части, не исполненной Участником на дату настоящего Договора»</w:t>
      </w:r>
    </w:p>
    <w:p>
      <w:pPr>
        <w:keepLines/>
      </w:pPr>
      <w:r>
        <w:t>«Оплата цены Договора производится Новым участником в порядке, установленном разделом ... Договора»</w:t>
      </w:r>
    </w:p>
    <w:p>
      <w:pPr>
        <w:keepLines/>
      </w:pPr>
      <w:r>
        <w:t>При неполной оплате цены ДДУ такие условия могут означать переход обязанности доплатить. Обещание выдать акт о расчёте после ввода не подтверждает поступление денег на эскроу и само по себе не прекращает обязанность по оплате цены ДДУ. Запросите банковское подтверждение и документы об исполнении обязательств.</w:t>
      </w:r>
    </w:p>
    <w:p>
      <w:pPr>
        <w:pStyle w:val="Heading2"/>
        <w:keepLines/>
      </w:pPr>
      <w:r>
        <w:t>ФОРМУЛИРОВКА Б — ПЕРЕДАЧА ОПЛАЧЕННОГО ПРАВА</w:t>
      </w:r>
    </w:p>
    <w:p>
      <w:pPr>
        <w:keepLines/>
      </w:pPr>
      <w:r>
        <w:t>Пример формулировки (условные реквизиты, не для подписания): «Цена Договора уплачена Участником полностью, что подтверждается справкой Банка А от 01.10.2026 (Приложение № 1). Обязательства по внесению денежных средств на счёт эскроу Участником исполнены; к Новому участнику обязанности по оплате цены Договора не переходят». В договоре используйте только проверенные фактические реквизиты и банковское подтверждение.</w:t>
      </w:r>
    </w:p>
    <w:p>
      <w:pPr>
        <w:keepLines/>
      </w:pPr>
      <w:r>
        <w:t>Проверочные признаки варианта «Б»: факт поступления средств подтверждён банком, подтверждение приложено к документам сделки, в уступке определено отсутствие перехода долга по оплате цены ДДУ. Это ориентиры для сверки, а не гарантия достаточности формулировки: сопоставьте ДДУ, уступку, банковские документы и применимые требования закона.</w:t>
      </w:r>
    </w:p>
    <w:p>
      <w:pPr>
        <w:pStyle w:val="Heading2"/>
        <w:keepLines/>
      </w:pPr>
      <w:r>
        <w:t>Другие документы, подлежащие проверке</w:t>
      </w:r>
    </w:p>
    <w:p>
      <w:pPr>
        <w:keepLines/>
        <w:ind w:left="283" w:hanging="142"/>
      </w:pPr>
      <w:r>
        <w:t>— В самом ДДУ: раздел о цене и порядке оплаты — сумма, счёт и срок. Условия оплаты по ДДУ сопоставьте с условиями уступки.</w:t>
      </w:r>
    </w:p>
    <w:p>
      <w:pPr>
        <w:keepLines/>
        <w:ind w:left="283" w:hanging="142"/>
      </w:pPr>
      <w:r>
        <w:t>— В согласии застройщика на уступку: уступка неоплаченного ДДУ идёт вместе с переводом долга, а перевод долга требует согласия кредитора — смотрите, о чём именно застройщик даёт согласие и что в нём сказано про оплату.</w:t>
      </w:r>
    </w:p>
    <w:p>
      <w:pPr>
        <w:keepLines/>
        <w:ind w:left="283" w:hanging="142"/>
      </w:pPr>
      <w:r>
        <w:t>— В цене уступки: отдельно определите, чем и когда новый участник рассчитывается с цедентом. При цеденте — юридическом лице уплата цены уступки производится после государственной регистрации соглашения (ч. 3 ст. 11 Закона № 214-ФЗ). Если предлагают зачёт стоимости работ, проверьте его основание, встречные требования и момент зачёта с учётом этого правила. Зачёт между сторонами сам по себе не подтверждает оплату цены ДДУ на эскроу (ч. 3 ст. 15.4 Закона № 214-ФЗ).</w:t>
      </w:r>
    </w:p>
    <w:p>
      <w:pPr>
        <w:keepLines/>
        <w:ind w:left="283" w:hanging="142"/>
      </w:pPr>
      <w:r>
        <w:t>— В акте сверки или справке цедента «расчёт произведён»: документ стороны сделки может подтверждать расчёты между сторонами, но не заменяет банковское подтверждение поступления средств на счёт эскроу.</w:t>
      </w:r>
    </w:p>
    <w:p>
      <w:pPr>
        <w:pStyle w:val="Heading2"/>
        <w:keepLines/>
      </w:pPr>
      <w:r>
        <w:t>Документы для правовой проверки до подписания</w:t>
      </w:r>
    </w:p>
    <w:p>
      <w:pPr>
        <w:keepLines/>
      </w:pPr>
      <w:r>
        <w:t>Пакет из пяти позиций — с ним юристу есть что оценивать сразу, без него разговор начинается с переписки о недостающих документах:</w:t>
      </w:r>
    </w:p>
    <w:p>
      <w:pPr>
        <w:keepLines/>
        <w:ind w:left="283" w:hanging="142"/>
      </w:pPr>
      <w:r>
        <w:t>— ДДУ целиком с приложениями.</w:t>
      </w:r>
    </w:p>
    <w:p>
      <w:pPr>
        <w:keepLines/>
        <w:ind w:left="283" w:hanging="142"/>
      </w:pPr>
      <w:r>
        <w:t>— Проект договора уступки.</w:t>
      </w:r>
    </w:p>
    <w:p>
      <w:pPr>
        <w:keepLines/>
        <w:ind w:left="283" w:hanging="142"/>
      </w:pPr>
      <w:r>
        <w:t>— Справка/выписка банка по счёту эскроу (итог «Запроса о наполнении счёта эскроу по передаваемому ДДУ»).</w:t>
      </w:r>
    </w:p>
    <w:p>
      <w:pPr>
        <w:keepLines/>
        <w:ind w:left="283" w:hanging="142"/>
      </w:pPr>
      <w:r>
        <w:t>— Согласие застройщика на уступку (проект или выданное).</w:t>
      </w:r>
    </w:p>
    <w:p>
      <w:pPr>
        <w:keepLines/>
        <w:ind w:left="283" w:hanging="142"/>
      </w:pPr>
      <w:r>
        <w:t>— Проект условий оплаты цены уступки: сумма, срок, платёж или зачёт, основания встречных требований. При цеденте — юридическом лице отдельно проверьте, что момент исполнения не противоречит ч. 3 ст. 11 Закона № 214-ФЗ. Сверьте подтверждение оплаты цены ДДУ банком, условия перевода долга и согласие кредитора. Если любой элемент не подтверждён, решение о подписании отложите.</w:t>
      </w:r>
    </w:p>
    <w:p>
      <w:pPr>
        <w:pStyle w:val="Heading2"/>
        <w:keepLines/>
      </w:pPr>
      <w:r>
        <w:t>Граница применения</w:t>
      </w:r>
    </w:p>
    <w:p>
      <w:pPr>
        <w:keepLines/>
        <w:ind w:left="283" w:hanging="142"/>
      </w:pPr>
      <w:r>
        <w:t>— До подписания проверьте стадию передачи. Уступка права на получение объекта допускается с момента государственной регистрации ДДУ до подписания сторонами передаточного акта или иного документа о передаче объекта (ч. 2 ст. 11 Закона № 214-ФЗ). Передача уже оформлена либо стадия не подтверждена — СТОП до определения применимой формы сделки. Ввод дома сам по себе не означает передачу объекта.</w:t>
      </w:r>
    </w:p>
    <w:p>
      <w:pPr>
        <w:keepLines/>
        <w:ind w:left="283" w:hanging="142"/>
      </w:pPr>
      <w:r>
        <w:t>— По уже подписанной уступке правовую позицию определяют с учётом документов сделки, норм ГК об уступке и переводе долга и положений 214-ФЗ об эскроу и уступке в действующих редакциях.</w:t>
      </w:r>
    </w:p>
    <w:p>
      <w:pPr>
        <w:keepLines/>
        <w:ind w:left="283" w:hanging="142"/>
      </w:pPr>
      <w:r>
        <w:t>— Налоговые последствия получения и реализации помещения или машино-места проверьте с бухгалтером (шаг 5 «Алгоритма: проверка расчёта метрами до входа»).</w:t>
      </w:r>
    </w:p>
    <w:p>
      <w:pPr>
        <w:pStyle w:val="Heading2"/>
        <w:keepLines/>
      </w:pPr>
      <w:r>
        <w:t>Важно, прочитайте до использования</w:t>
      </w:r>
    </w:p>
    <w:p>
      <w:pPr>
        <w:keepLines/>
      </w:pPr>
      <w:r>
        <w:t>Комплект позволяет проверить расчёт жилыми и офисными помещениями, машино-местами либо правами на них. Результат проверки — документально подтверждённые условия передачи объекта, обязательства сторон и оценка рисков до подписания сделки.</w:t>
      </w:r>
    </w:p>
    <w:p>
      <w:pPr>
        <w:keepLines/>
      </w:pPr>
      <w:r>
        <w:t>На дату сделки сопоставьте действующую редакцию Закона № 214-ФЗ, положения ГК РФ, ДДУ, уступку и подтверждения банка.</w:t>
      </w:r>
    </w:p>
    <w:p>
      <w:pPr>
        <w:keepLines/>
      </w:pPr>
      <w:r>
        <w:t>Порядок применяется до подписания документов. По уже заключённой сделке и при банкротстве правовую позицию определяют отдельно по её документам и фактической стадии передачи объекта.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0" w:right="1191" w:bottom="78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9" w:lineRule="auto"/>
    </w:pPr>
    <w:rPr>
      <w:rFonts w:ascii="DejaVu Sans" w:hAnsi="DejaVu Sans"/>
      <w:i w:val="0"/>
      <w:color w:val="2C33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/>
      <w:b/>
      <w:bCs/>
      <w:i w:val="0"/>
      <w:color w:val="3034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i w:val="0"/>
      <w:color w:val="3034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77A48"/>
      </w:pBdr>
      <w:spacing w:after="140" w:line="240" w:lineRule="auto" w:before="120"/>
      <w:contextualSpacing/>
    </w:pPr>
    <w:rPr>
      <w:rFonts w:asciiTheme="majorHAnsi" w:eastAsiaTheme="majorEastAsia" w:hAnsiTheme="majorHAnsi" w:cstheme="majorBidi" w:ascii="DejaVu Sans" w:hAnsi="DejaVu Sans"/>
      <w:b/>
      <w:i w:val="0"/>
      <w:color w:val="30343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 w:val="0"/>
      <w:iCs/>
      <w:color w:val="30343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3"/>
      <w:contextualSpacing/>
    </w:pPr>
    <w:rPr>
      <w:rFonts w:ascii="DejaVu Sans" w:hAnsi="DejaVu Sans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