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rFonts w:ascii="Arial" w:hAnsi="Arial"/>
          <w:color w:val="000000"/>
          <w:sz w:val="32"/>
        </w:rPr>
        <w:t>Проверочный лист условий аванса и обеспечения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Зачем этот лист</w:t>
      </w:r>
    </w:p>
    <w:p>
      <w:r>
        <w:rPr>
          <w:rFonts w:ascii="Arial" w:hAnsi="Arial"/>
        </w:rPr>
        <w:t>Аванс — предварительная оплата будущих работ. Его получение не означает, что прибыль уже заработана. Порядок зачёта аванса уменьшает последующие платежи за работы; обязательство по неотработанной части и доступный остаток денег нужно проверять отдельно.</w:t>
        <w:br/>
        <w:br/>
        <w:t>Сопоставьте размер аванса, порядок погашения, обеспечение и основания возврата. Файл 02 разделяет удержанные и заблокированные деньги, фактические затраты, остаток аванса и стоимость непринятых работ. Единой суммы «денег не у вас» для этих разных величин нет.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Как им пользоваться</w:t>
      </w:r>
    </w:p>
    <w:p>
      <w:r>
        <w:rPr>
          <w:rFonts w:ascii="Arial" w:hAnsi="Arial"/>
        </w:rPr>
        <w:t>Проверьте проект договора и приложения до подписания. Выпишите точные условия с номерами пунктов, затем оцените их влияние на расчёты по объекту.</w:t>
      </w:r>
    </w:p>
    <w:p>
      <w:pPr>
        <w:pStyle w:val="ListNumber"/>
      </w:pPr>
      <w:r>
        <w:rPr>
          <w:rFonts w:ascii="Arial" w:hAnsi="Arial"/>
        </w:rPr>
        <w:t>Откройте проект договора и приложения к нему целиком: условия аванса регулярно живут не в разделе о цене, а в разделе о порядке расчётов, в графике финансирования и в приложении об обеспечении.</w:t>
      </w:r>
    </w:p>
    <w:p>
      <w:pPr>
        <w:pStyle w:val="ListNumber"/>
      </w:pPr>
      <w:r>
        <w:rPr>
          <w:rFonts w:ascii="Arial" w:hAnsi="Arial"/>
        </w:rPr>
        <w:t>Пройдите таблицу ниже сверху вниз и выпишите формулировки дословно, с номером пункта. Пересказ своими словами здесь вреден: смысл пункта решают именно слова.</w:t>
      </w:r>
    </w:p>
    <w:p>
      <w:pPr>
        <w:pStyle w:val="ListNumber"/>
      </w:pPr>
      <w:r>
        <w:rPr>
          <w:rFonts w:ascii="Arial" w:hAnsi="Arial"/>
        </w:rPr>
        <w:t>Отметьте отсутствующие и противоречивые условия. Уточните их письменно: пробел в тексте не даёт второй стороне безусловного права установить любое правило.</w:t>
      </w:r>
    </w:p>
    <w:p>
      <w:pPr>
        <w:pStyle w:val="ListNumber"/>
      </w:pPr>
      <w:r>
        <w:rPr>
          <w:rFonts w:ascii="Arial" w:hAnsi="Arial"/>
        </w:rPr>
        <w:t>Перенесите подтверждённые суммы на выбранную дату в файл 02. Сверяйте каждый вид отдельно и исключайте повторный учёт одного платежа.</w:t>
      </w:r>
    </w:p>
    <w:p>
      <w:pPr>
        <w:pStyle w:val="ListNumber"/>
      </w:pPr>
      <w:r>
        <w:rPr>
          <w:rFonts w:ascii="Arial" w:hAnsi="Arial"/>
        </w:rPr>
        <w:t>Сравните найденные формулировки со списком в файле 03. Совпадения — это вопросы к второй стороне, а не приговор договору.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Условие 1 Размер аванса</w:t>
      </w:r>
    </w:p>
    <w:p>
      <w:r>
        <w:rPr>
          <w:rFonts w:ascii="Arial" w:hAnsi="Arial"/>
        </w:rPr>
        <w:t>Проверьте сумму, базу процента, срок и условия выплаты. Размер аванса нужно сопоставлять с графиком его зачёта и затратами на обеспечение.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выписать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Где обычно лежит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На что смотреть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Размер: процент или твёрдая сумма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Раздел о цене договора, раздел о порядке расчётов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От чего считается процент — от всей цены договора, от этапа или от годового объёма. Это три разные суммы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Основание выплаты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Порядок расчётов, график финансирования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Выплачивается по факту подписания договора, по заявке, после предоставления обеспечения или после выхода на объект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Срок выплаты и от какого события он течёт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Порядок расчётов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Проверьте событие, срок, документ и зависимость выплаты от действий другой стороны. Неопределённое финансирование оставляет дату поступления денег неизвестной.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Что происходит, если аванс не выплачен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Права и обязанности сторон, порядок расчётов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Отсутствие отдельной фразы о приостановке не исключает защиту по закону. Проверьте встречность исполнения, препятствие работе, условия договора и порядок уведомления по статьям 328 и 719 ГК РФ.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Условие 2 Порядок погашения аванса</w:t>
      </w:r>
    </w:p>
    <w:p>
      <w:r>
        <w:rPr>
          <w:rFonts w:ascii="Arial" w:hAnsi="Arial"/>
        </w:rPr>
        <w:t>Порядок погашения определяет, какая часть стоимости принятых работ будет оплачена новым платежом, а какая покрыта ранее выданным авансом. Проверьте каждый платёж по графику: сам зачёт аванса не является второй выплатой тех же денег.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Порядок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Как выглядит в тексте</w:t>
            </w:r>
          </w:p>
        </w:tc>
        <w:tc>
          <w:tcPr>
            <w:tcW w:type="dxa" w:w="288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делает с деньгами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Пропорционально стоимости выполненного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погашается пропорционально стоимости принятых работ»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Уменьшает каждый платёж на согласованную долю. Проверьте базу, округление и предел погашения остатком аванса.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Из первых платежей полностью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удерживается из первых платежей до полного погашения»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Уменьшает первые платежи за работы. Сопоставьте их с уже полученным авансом и расходами по графику.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Из последнего платежа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«Аванс засчитывается при окончательном расчёте»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Уменьшает окончательный платёж на ранее выданную сумму. Отдельно проверьте, хватит ли поступлений к этому моменту.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Не определён вовсе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 договоре про погашение нет ни слова</w:t>
            </w:r>
          </w:p>
        </w:tc>
        <w:tc>
          <w:tcPr>
            <w:tcW w:type="dxa" w:w="288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Создаёт неопределённость расчётов. Попросите согласовать порядок; отсутствие пункта само по себе не означает право другой стороны определить его произвольно.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Условие 3 Обеспечение аванса</w:t>
      </w:r>
    </w:p>
    <w:p>
      <w:r>
        <w:rPr>
          <w:rFonts w:ascii="Arial" w:hAnsi="Arial"/>
        </w:rPr>
        <w:t>Разделяйте сумму гарантии, уплаченное вознаграждение банка и фактически заблокированное денежное покрытие. Номинал гарантии сам по себе не является расходом или изъятым остатком денег. Условия поручительства и обеспечительного платежа проверяются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выписать</w:t>
            </w:r>
          </w:p>
        </w:tc>
        <w:tc>
          <w:tcPr>
            <w:tcW w:type="dxa" w:w="432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Вид обеспечения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 гарантии отдельно проверяются номинал, комиссия и покрытие; у поручительства — объём ответственности; у денежного обеспечения — сумма и условия возврата.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За чей счёт предоставляется</w:t>
            </w:r>
          </w:p>
        </w:tc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Сверьте договор подряда и соглашение с банком: какие комиссии и продления оплачивает каждая сторона.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Срок действия и от какого события он считается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Срок действия должен быть указан в независимой гарантии. Одной фразы «до полного исполнения» недостаточно для оценки срока и стоимости; проверьте документ банка и порядок продления.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Кто и за чей счёт продлевает</w:t>
            </w:r>
          </w:p>
        </w:tc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Установите основания продления, срок обращения в банк и распределение расходов при переносе работ.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Условие платежа по обеспечению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Безотзывность относится к отзыву и изменению гарантии. Для платежа проверяются условия гарантии, обстоятельства и документы требования; возможны основания отказа или приостановления по закону.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Событие возврата обеспечения</w:t>
            </w:r>
          </w:p>
        </w:tc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Выпишите событие, подтверждающий документ и срок возврата. Если нужен акт второй стороны, уточните порядок при задержке его подписания.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Условие 4 Возврат аванса и расторжение</w:t>
      </w:r>
    </w:p>
    <w:p>
      <w:r>
        <w:rPr>
          <w:rFonts w:ascii="Arial" w:hAnsi="Arial"/>
        </w:rPr>
        <w:t>При остановке или прекращении договора сверьте выданный аванс, зачтённые суммы и стоимость подтверждённых работ. Основание и срок возврата, состав неотработанной части и судьба обеспечения требуют отдельной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Что выписать</w:t>
            </w:r>
          </w:p>
        </w:tc>
        <w:tc>
          <w:tcPr>
            <w:tcW w:type="dxa" w:w="4320"/>
            <w:vAlign w:val="center"/>
            <w:shd w:fill="343B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/>
                <w:color w:val="FFFFFF"/>
                <w:sz w:val="20"/>
              </w:rPr>
              <w:t>На что смотреть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Основание требовать возврат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Требование по факту расторжения или требование в любой момент по усмотрению второй стороны. Это разные условия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Как определяется неотработанная часть</w:t>
            </w:r>
          </w:p>
        </w:tc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Ограничение расчёта только двусторонними актами создаёт риск спора о выполненном. Работы без подписи не обнуляются автоматически: нужны доказательства выполнения, сдачи и причин отказа.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Срок возврата</w:t>
            </w:r>
          </w:p>
        </w:tc>
        <w:tc>
          <w:tcPr>
            <w:tcW w:type="dxa" w:w="432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Считается от требования или от события. Короткий срок от требования не оставляет времени на расчёт и на возражения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Судьба обеспечения при споре</w:t>
            </w:r>
          </w:p>
        </w:tc>
        <w:tc>
          <w:tcPr>
            <w:tcW w:type="dxa" w:w="4320"/>
            <w:vAlign w:val="center"/>
            <w:shd w:fill="F5F5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color w:val="222222"/>
                <w:sz w:val="20"/>
              </w:rPr>
              <w:t>Сверьте требования по авансу с выплатами по обеспечению и последующими расчётами с банком. Уточните, как исключается повторное получение одной и той же суммы.</w:t>
            </w:r>
          </w:p>
        </w:tc>
      </w:tr>
    </w:tbl>
    <w:p>
      <w:pPr>
        <w:pStyle w:val="Heading1"/>
        <w:keepNext/>
      </w:pPr>
      <w:r>
        <w:rPr>
          <w:rFonts w:ascii="Arial" w:hAnsi="Arial"/>
          <w:color w:val="000000"/>
          <w:sz w:val="24"/>
        </w:rPr>
        <w:t>Дополнительные условия договора</w:t>
      </w:r>
    </w:p>
    <w:p>
      <w:r>
        <w:rPr>
          <w:rFonts w:ascii="Arial" w:hAnsi="Arial"/>
        </w:rPr>
        <w:t>Проверьте, урегулированы ли следующие вопросы. Если условия нет, отметьте это и сопоставьте договор с применимыми нормами.</w:t>
      </w:r>
    </w:p>
    <w:p>
      <w:pPr>
        <w:pStyle w:val="ListBullet"/>
      </w:pPr>
      <w:r>
        <w:rPr>
          <w:rFonts w:ascii="Arial" w:hAnsi="Arial"/>
        </w:rPr>
        <w:t>Порядок погашения аванса и способ отражения его зачёта в расчётах.</w:t>
      </w:r>
    </w:p>
    <w:p>
      <w:pPr>
        <w:pStyle w:val="ListBullet"/>
      </w:pPr>
      <w:r>
        <w:rPr>
          <w:rFonts w:ascii="Arial" w:hAnsi="Arial"/>
        </w:rPr>
        <w:t>Событие и документ, по которым возвращается обеспечение.</w:t>
      </w:r>
    </w:p>
    <w:p>
      <w:pPr>
        <w:pStyle w:val="ListBullet"/>
      </w:pPr>
      <w:r>
        <w:rPr>
          <w:rFonts w:ascii="Arial" w:hAnsi="Arial"/>
        </w:rPr>
        <w:t>Порядок уведомления при невыплате аванса и условия применения статей 328 и 719 ГК РФ.</w:t>
      </w:r>
    </w:p>
    <w:p>
      <w:pPr>
        <w:pStyle w:val="ListBullet"/>
      </w:pPr>
      <w:r>
        <w:rPr>
          <w:rFonts w:ascii="Arial" w:hAnsi="Arial"/>
        </w:rPr>
        <w:t>Порядок продления обеспечения при сдвиге сроков не по вашей вине и за чей счёт.</w:t>
      </w:r>
    </w:p>
    <w:p>
      <w:pPr>
        <w:pStyle w:val="ListBullet"/>
      </w:pPr>
      <w:r>
        <w:rPr>
          <w:rFonts w:ascii="Arial" w:hAnsi="Arial"/>
        </w:rPr>
        <w:t>Основания уменьшения платежа, порядок заявления зачёта встречных требований и документы для сверки расчёта.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Что делать с заполненным листом</w:t>
      </w:r>
    </w:p>
    <w:p>
      <w:pPr>
        <w:pStyle w:val="ListNumber"/>
      </w:pPr>
      <w:r>
        <w:rPr>
          <w:rFonts w:ascii="Arial" w:hAnsi="Arial"/>
        </w:rPr>
        <w:t>Перенесите суммы в файл 02 и проверьте отдельные показатели. Для оценки кассового разрыва дополнительно нужен календарь поступлений и выплат, доступные деньги и обязательные платежи.</w:t>
      </w:r>
    </w:p>
    <w:p>
      <w:pPr>
        <w:pStyle w:val="ListNumber"/>
      </w:pPr>
      <w:r>
        <w:rPr>
          <w:rFonts w:ascii="Arial" w:hAnsi="Arial"/>
        </w:rPr>
        <w:t>Сверьте формулировки с файлом 03 и выпишите совпадения.</w:t>
      </w:r>
    </w:p>
    <w:p>
      <w:pPr>
        <w:pStyle w:val="ListNumber"/>
      </w:pPr>
      <w:r>
        <w:rPr>
          <w:rFonts w:ascii="Arial" w:hAnsi="Arial"/>
        </w:rPr>
        <w:t>Задайте вопросы письмом из файла 04 — до подписи и одним письмом, а не по одному в неделю.</w:t>
      </w:r>
    </w:p>
    <w:p>
      <w:pPr>
        <w:pStyle w:val="ListNumber"/>
      </w:pPr>
      <w:r>
        <w:rPr>
          <w:rFonts w:ascii="Arial" w:hAnsi="Arial"/>
        </w:rPr>
        <w:t>Ответ сохраните. Переписка до подписи — это документ, который объясняет, как стороны понимали условие, и он бывает нужен гораздо позже.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Когда требуется разбор ситуации</w:t>
      </w:r>
    </w:p>
    <w:p>
      <w:r>
        <w:rPr>
          <w:rFonts w:ascii="Arial" w:hAnsi="Arial"/>
        </w:rP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  <w:keepNext/>
      </w:pPr>
      <w:r>
        <w:rPr>
          <w:rFonts w:ascii="Arial" w:hAnsi="Arial"/>
          <w:color w:val="000000"/>
          <w:sz w:val="24"/>
        </w:rPr>
        <w:t>Нормативные ориентиры</w:t>
      </w:r>
    </w:p>
    <w:p>
      <w:pPr>
        <w:spacing w:after="60"/>
      </w:pPr>
      <w:hyperlink r:id="rId9">
        <w:r>
          <w:rPr>
            <w:color w:val="333333"/>
            <w:u w:val="single"/>
          </w:rPr>
          <w:t>ГК РФ статья 328 — Встречное исполнение</w:t>
        </w:r>
      </w:hyperlink>
    </w:p>
    <w:p>
      <w:pPr>
        <w:spacing w:after="60"/>
      </w:pPr>
      <w:hyperlink r:id="rId10">
        <w:r>
          <w:rPr>
            <w:color w:val="333333"/>
            <w:u w:val="single"/>
          </w:rPr>
          <w:t>ГК РФ статья 719 — Неисполнение обязанностей заказчиком</w:t>
        </w:r>
      </w:hyperlink>
    </w:p>
    <w:p>
      <w:pPr>
        <w:spacing w:after="60"/>
      </w:pPr>
      <w:hyperlink r:id="rId11">
        <w:r>
          <w:rPr>
            <w:color w:val="333333"/>
            <w:u w:val="single"/>
          </w:rPr>
          <w:t>ГК РФ статья 410 — Условия зачёта встречных требований</w:t>
        </w:r>
      </w:hyperlink>
    </w:p>
    <w:p>
      <w:pPr>
        <w:spacing w:after="60"/>
      </w:pPr>
      <w:hyperlink r:id="rId12">
        <w:r>
          <w:rPr>
            <w:color w:val="333333"/>
            <w:u w:val="single"/>
          </w:rPr>
          <w:t>ГК РФ статья 368 — Условия независимой гарантии</w:t>
        </w:r>
      </w:hyperlink>
    </w:p>
    <w:p>
      <w:pPr>
        <w:spacing w:after="60"/>
      </w:pPr>
      <w:hyperlink r:id="rId13">
        <w:r>
          <w:rPr>
            <w:color w:val="333333"/>
            <w:u w:val="single"/>
          </w:rPr>
          <w:t>ГК РФ статья 371 — Отзыв и изменение гарантии</w:t>
        </w:r>
      </w:hyperlink>
    </w:p>
    <w:p>
      <w:pPr>
        <w:spacing w:after="60"/>
      </w:pPr>
      <w:hyperlink r:id="rId14">
        <w:r>
          <w:rPr>
            <w:color w:val="333333"/>
            <w:u w:val="single"/>
          </w:rPr>
          <w:t>ГК РФ статья 374 — Предъявление требования гаранту</w:t>
        </w:r>
      </w:hyperlink>
    </w:p>
    <w:p>
      <w:pPr>
        <w:spacing w:after="60"/>
      </w:pPr>
      <w:hyperlink r:id="rId15">
        <w:r>
          <w:rPr>
            <w:color w:val="333333"/>
            <w:u w:val="single"/>
          </w:rPr>
          <w:t>ГК РФ статья 376 — Отказ и приостановление платежа гарантом</w:t>
        </w:r>
      </w:hyperlink>
    </w:p>
    <w:p>
      <w:pPr>
        <w:spacing w:after="60"/>
      </w:pPr>
      <w:hyperlink r:id="rId16">
        <w:r>
          <w:rPr>
            <w:color w:val="333333"/>
            <w:u w:val="single"/>
          </w:rPr>
          <w:t>ГК РФ статья 753 — Сдача и приёмка строительных работ</w:t>
        </w:r>
      </w:hyperlink>
    </w:p>
    <w:p>
      <w:r>
        <w:rPr>
          <w:rFonts w:ascii="Arial" w:hAnsi="Arial"/>
        </w:rPr>
        <w:t>Сопоставьте нормы с условиями своего договора и документами по объекту. Для строительных работ без подписи второй стороны отдельно проверьте порядок сдачи, причины отказа и доказательства направления акта.</w:t>
      </w:r>
    </w:p>
    <w:p>
      <w:hyperlink r:id="rId17">
        <w:r>
          <w:rPr>
            <w:color w:val="333333"/>
            <w:u w:val="single"/>
          </w:rPr>
          <w:t>Полный комплект по авансу и расчётам</w:t>
        </w:r>
      </w:hyperlink>
    </w:p>
    <w:p>
      <w:hyperlink r:id="rId18">
        <w:r>
          <w:rPr>
            <w:color w:val="333333"/>
            <w:u w:val="single"/>
          </w:rPr>
          <w:t>На стороне подрядчика</w:t>
        </w:r>
      </w:hyperlink>
      <w:r>
        <w:rPr>
          <w:rFonts w:ascii="Arial" w:hAnsi="Arial"/>
        </w:rPr>
        <w:t xml:space="preserve">  |  </w:t>
      </w:r>
      <w:hyperlink r:id="rId19">
        <w:r>
          <w:rPr>
            <w:color w:val="333333"/>
            <w:u w:val="single"/>
          </w:rPr>
          <w:t>Telegram</w:t>
        </w:r>
      </w:hyperlink>
    </w:p>
    <w:p>
      <w:r>
        <w:rPr>
          <w:rFonts w:ascii="Arial" w:hAnsi="Arial"/>
        </w:rPr>
        <w:t>Вопросы по файлам: nastoronepodryadchika@yandex.ru. Редакция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331033e3d6e7b72213bd9903b03e29dfb9e608fe/" TargetMode="External"/><Relationship Id="rId10" Type="http://schemas.openxmlformats.org/officeDocument/2006/relationships/hyperlink" Target="https://www.consultant.ru/document/cons_doc_LAW_9027/3a590316d2440dd63f7510f9238f24357b93bf61/" TargetMode="External"/><Relationship Id="rId11" Type="http://schemas.openxmlformats.org/officeDocument/2006/relationships/hyperlink" Target="https://www.consultant.ru/document/cons_doc_LAW_5142/ce09e59d11f3a60c30a1601c0f6c7cceb9835dfa/" TargetMode="External"/><Relationship Id="rId12" Type="http://schemas.openxmlformats.org/officeDocument/2006/relationships/hyperlink" Target="https://www.consultant.ru/document/cons_doc_LAW_5142/03edc46b2ef855fddfaaa3d77dac1d071ef3dba1/" TargetMode="External"/><Relationship Id="rId13" Type="http://schemas.openxmlformats.org/officeDocument/2006/relationships/hyperlink" Target="https://www.consultant.ru/document/cons_doc_LAW_5142/57bea654bf38c3b50efbfba87ea1f53b7cd090a9/" TargetMode="External"/><Relationship Id="rId14" Type="http://schemas.openxmlformats.org/officeDocument/2006/relationships/hyperlink" Target="https://www.consultant.ru/document/cons_doc_LAW_5142/d2b4e2d6a7f878c07420796abb37fe3d5823f0e9/" TargetMode="External"/><Relationship Id="rId15" Type="http://schemas.openxmlformats.org/officeDocument/2006/relationships/hyperlink" Target="https://www.consultant.ru/document/cons_doc_LAW_5142/6a272c71c7c8b647b8b9d7eba71db4e01d901365/" TargetMode="External"/><Relationship Id="rId16" Type="http://schemas.openxmlformats.org/officeDocument/2006/relationships/hyperlink" Target="https://www.consultant.ru/document/cons_doc_LAW_9027/6b2d751a0d605616a9a1012cb7c7fbac1b6d84b3/" TargetMode="External"/><Relationship Id="rId17" Type="http://schemas.openxmlformats.org/officeDocument/2006/relationships/hyperlink" Target="https://nastoronepodryadchika.ru/products/p8-avans-po-dogovoru-subpodryada.html" TargetMode="External"/><Relationship Id="rId18" Type="http://schemas.openxmlformats.org/officeDocument/2006/relationships/hyperlink" Target="https://nastoronepodryadchika.ru" TargetMode="External"/><Relationship Id="rId19" Type="http://schemas.openxmlformats.org/officeDocument/2006/relationships/hyperlink" Target="https://t.me/nastoronepodryadch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