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Отправка документов и доказательство направления</w:t>
      </w:r>
    </w:p>
    <w:p>
      <w:r>
        <w:rPr>
          <w:i/>
        </w:rPr>
        <w:t>Файл 07. Как направить заказчику уведомление о просрочке (файл 06), претензию (файл 09) и копию иска (файл 10) так, чтобы направление можно было доказать.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Способы направления и что сохранить</w:t>
      </w:r>
    </w:p>
    <w:p>
      <w:r>
        <w:rPr>
          <w:b w:val="0"/>
          <w:i w:val="0"/>
        </w:rPr>
        <w:t>Минимум, который нужен маршруту: вы должны суметь показать, что именно (опись), когда (дата), кому (адресат с полномочиями или адрес по ЕГРЮЛ и договору) и каким способом направлено. Юридически значимое сообщение считается доставленным и в случае, когда оно поступило адресату, но по обстоятельствам, зависящим от него, не было ему вручено или адресат не ознакомился с ним (ст. 165.1 ГК РФ).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494"/>
        <w:gridCol w:w="2154"/>
        <w:gridCol w:w="2041"/>
      </w:tblGrid>
      <w:tr>
        <w:tc>
          <w:tcPr>
            <w:tcW w:type="dxa" w:w="1928"/>
          </w:tcPr>
          <w:p>
            <w:r/>
            <w:r>
              <w:rPr>
                <w:b/>
              </w:rPr>
              <w:t>Способ</w:t>
            </w:r>
          </w:p>
        </w:tc>
        <w:tc>
          <w:tcPr>
            <w:tcW w:type="dxa" w:w="2494"/>
          </w:tcPr>
          <w:p>
            <w:r/>
            <w:r>
              <w:rPr>
                <w:b/>
              </w:rPr>
              <w:t>Что сохранить</w:t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Когда подходит</w:t>
            </w:r>
          </w:p>
        </w:tc>
        <w:tc>
          <w:tcPr>
            <w:tcW w:type="dxa" w:w="2041"/>
          </w:tcPr>
          <w:p>
            <w:r/>
            <w:r>
              <w:rPr>
                <w:b/>
              </w:rPr>
              <w:t>Риск</w:t>
            </w:r>
          </w:p>
        </w:tc>
      </w:tr>
      <w:tr>
        <w:tc>
          <w:tcPr>
            <w:tcW w:type="dxa" w:w="1928"/>
          </w:tcPr>
          <w:p>
            <w:r>
              <w:t>Нарочно с отметкой о получении</w:t>
            </w:r>
          </w:p>
        </w:tc>
        <w:tc>
          <w:tcPr>
            <w:tcW w:type="dxa" w:w="2494"/>
          </w:tcPr>
          <w:p>
            <w:r>
              <w:t>Второй экземпляр письма с подписью, ФИО, должностью, датой и входящим номером</w:t>
            </w:r>
          </w:p>
        </w:tc>
        <w:tc>
          <w:tcPr>
            <w:tcW w:type="dxa" w:w="2154"/>
          </w:tcPr>
          <w:p>
            <w:r>
              <w:t>Есть представитель заказчика с полномочиями на объекте или в офисе</w:t>
            </w:r>
          </w:p>
        </w:tc>
        <w:tc>
          <w:tcPr>
            <w:tcW w:type="dxa" w:w="2041"/>
          </w:tcPr>
          <w:p>
            <w:r>
              <w:t>Подпись неуполномоченного лица; отметка без расшифровки</w:t>
            </w:r>
          </w:p>
        </w:tc>
      </w:tr>
      <w:tr>
        <w:tc>
          <w:tcPr>
            <w:tcW w:type="dxa" w:w="1928"/>
          </w:tcPr>
          <w:p>
            <w:r>
              <w:t>Почта: ценное письмо с описью вложения и уведомлением о вручении</w:t>
            </w:r>
          </w:p>
        </w:tc>
        <w:tc>
          <w:tcPr>
            <w:tcW w:type="dxa" w:w="2494"/>
          </w:tcPr>
          <w:p>
            <w:r>
              <w:t>Опись с отметкой почты, кассовый чек, трек-номер, уведомление или распечатка отслеживания</w:t>
            </w:r>
          </w:p>
        </w:tc>
        <w:tc>
          <w:tcPr>
            <w:tcW w:type="dxa" w:w="2154"/>
          </w:tcPr>
          <w:p>
            <w:r>
              <w:t>Всегда как основной или дублирующий способ; адрес — по ЕГРЮЛ</w:t>
            </w:r>
          </w:p>
        </w:tc>
        <w:tc>
          <w:tcPr>
            <w:tcW w:type="dxa" w:w="2041"/>
          </w:tcPr>
          <w:p>
            <w:r>
              <w:t>Отправка по старому адресу; опись без перечня документов</w:t>
            </w:r>
          </w:p>
        </w:tc>
      </w:tr>
      <w:tr>
        <w:tc>
          <w:tcPr>
            <w:tcW w:type="dxa" w:w="1928"/>
          </w:tcPr>
          <w:p>
            <w:r>
              <w:t>Электронный документооборот</w:t>
            </w:r>
          </w:p>
        </w:tc>
        <w:tc>
          <w:tcPr>
            <w:tcW w:type="dxa" w:w="2494"/>
          </w:tcPr>
          <w:p>
            <w:r>
              <w:t>Квитанции оператора, извещение о получении, подписанный документ</w:t>
            </w:r>
          </w:p>
        </w:tc>
        <w:tc>
          <w:tcPr>
            <w:tcW w:type="dxa" w:w="2154"/>
          </w:tcPr>
          <w:p>
            <w:r>
              <w:t>ЭДО предусмотрено договором или используется сторонами</w:t>
            </w:r>
          </w:p>
        </w:tc>
        <w:tc>
          <w:tcPr>
            <w:tcW w:type="dxa" w:w="2041"/>
          </w:tcPr>
          <w:p>
            <w:r>
              <w:t>Документ отправлен, но не получен адресатом</w:t>
            </w:r>
          </w:p>
        </w:tc>
      </w:tr>
      <w:tr>
        <w:tc>
          <w:tcPr>
            <w:tcW w:type="dxa" w:w="1928"/>
          </w:tcPr>
          <w:p>
            <w:r>
              <w:t>Электронная почта</w:t>
            </w:r>
          </w:p>
        </w:tc>
        <w:tc>
          <w:tcPr>
            <w:tcW w:type="dxa" w:w="2494"/>
          </w:tcPr>
          <w:p>
            <w:r>
              <w:t>Письмо с вложениями, адрес из договора, ответ заказчика или уведомление о прочтении</w:t>
            </w:r>
          </w:p>
        </w:tc>
        <w:tc>
          <w:tcPr>
            <w:tcW w:type="dxa" w:w="2154"/>
          </w:tcPr>
          <w:p>
            <w:r>
              <w:t>Канал прямо предусмотрен договором</w:t>
            </w:r>
          </w:p>
        </w:tc>
        <w:tc>
          <w:tcPr>
            <w:tcW w:type="dxa" w:w="2041"/>
          </w:tcPr>
          <w:p>
            <w:r>
              <w:t>Адрес не из договора — направление будет сложно доказать</w:t>
            </w:r>
          </w:p>
        </w:tc>
      </w:tr>
      <w:tr>
        <w:tc>
          <w:tcPr>
            <w:tcW w:type="dxa" w:w="1928"/>
          </w:tcPr>
          <w:p>
            <w:r>
              <w:t>Курьерская служба</w:t>
            </w:r>
          </w:p>
        </w:tc>
        <w:tc>
          <w:tcPr>
            <w:tcW w:type="dxa" w:w="2494"/>
          </w:tcPr>
          <w:p>
            <w:r>
              <w:t>Накладная с описью вложения и отметкой о вручении</w:t>
            </w:r>
          </w:p>
        </w:tc>
        <w:tc>
          <w:tcPr>
            <w:tcW w:type="dxa" w:w="2154"/>
          </w:tcPr>
          <w:p>
            <w:r>
              <w:t>Нужна скорость, почта ненадёжна</w:t>
            </w:r>
          </w:p>
        </w:tc>
        <w:tc>
          <w:tcPr>
            <w:tcW w:type="dxa" w:w="2041"/>
          </w:tcPr>
          <w:p>
            <w:r>
              <w:t>Накладная без описи не подтверждает состав</w:t>
            </w:r>
          </w:p>
        </w:tc>
      </w:tr>
    </w:tbl>
    <w:p/>
    <w:p>
      <w:r>
        <w:rPr>
          <w:b/>
          <w:i w:val="0"/>
        </w:rPr>
        <w:t>Правило: основной способ + дубль. Каждое отправление — строка в файле 04, лист «Реестр передачи»: способ, дата, идентификатор и где хранится доказательство. Для подтверждения направления сохраните реестр и доказательство направления или получения документов.</w:t>
      </w:r>
    </w:p>
    <w:p>
      <w:r>
        <w:rPr>
          <w:b w:val="0"/>
          <w:i/>
        </w:rPr>
        <w:t>Входящие документы заказчика — гарантийное письмо, ответ на претензию, возражения, акт сверки — в «Реестр передачи» не вносятся: их учёт описан в файле 05, раздел В.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Отправка документов и доказательство направления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