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Претензия об оплате принятых работ</w:t>
      </w:r>
    </w:p>
    <w:p>
      <w:r>
        <w:rPr>
          <w:i/>
        </w:rPr>
        <w:t>Файл 09. Досудебное требование. Претензионный порядок для денежных требований из договора установлен ч. 5 ст. 4 АПК РФ; срок, по истечении которого можно обращаться в суд, — из договора, а если его нет — из этой нормы, со дня направления претензии.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 заказчиком, срок оплаты истёк, оплаты нет или она частичная. Если работы не приняты, система не подходит: сначала нужна приёмка работ по договору.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актом, в долге есть допработы без соглашения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Перед отправкой</w:t>
      </w:r>
    </w:p>
    <w:p>
      <w:pPr>
        <w:pStyle w:val="ListBullet"/>
      </w:pPr>
      <w:r>
        <w:t>Сумма долга — бесспорная, из реестра взаиморасчётов (файл 04), за вычетом всех оплат и зачтённого аванса. Спорные суммы (границы B2 и B5) в претензию без оценки специалиста не включайте; акты, оспоренные заказчиком (граница B4), — тоже.</w:t>
      </w:r>
    </w:p>
    <w:p>
      <w:pPr>
        <w:pStyle w:val="ListBullet"/>
      </w:pPr>
      <w:r>
        <w:t>Расчёт процентов — из файла 08 со статусом «ГОТОВ». В поле {{СУММА_ПРОЦЕНТОВ}} перенесите «Проценты итого» с листа «Расчёт», в поле {{ДАТА_РАСЧЁТА}} — последний день расчёта с листа «Ввод». Расчёт приложите.</w:t>
      </w:r>
    </w:p>
    <w:p>
      <w:pPr>
        <w:pStyle w:val="ListBullet"/>
      </w:pPr>
      <w:r>
        <w:t>Адрес — по свежей выписке ЕГРЮЛ; дубль — по адресу и каналу из договора.</w:t>
      </w:r>
    </w:p>
    <w:p>
      <w:pPr>
        <w:pStyle w:val="ListBullet"/>
      </w:pPr>
      <w:r>
        <w:t>Если договор устанавливает неустойку за просрочку оплаты — выбор между неустойкой и процентами (п. 4 ст. 395 ГК РФ) согласуйте со специалистом.</w:t>
      </w:r>
    </w:p>
    <w:p>
      <w:pPr>
        <w:pStyle w:val="ListBullet"/>
      </w:pPr>
      <w:r>
        <w:t>Проверка заказчика на признаки банкротства повторена в день отправки.</w:t>
      </w:r>
    </w:p>
    <w:p>
      <w:pPr>
        <w:pStyle w:val="Heading1"/>
      </w:pPr>
      <w:r>
        <w:t>Текст претензии</w:t>
      </w:r>
    </w:p>
    <w:p>
      <w:r>
        <w:rPr>
          <w:b w:val="0"/>
          <w:i w:val="0"/>
        </w:rPr>
        <w:t>Исх. № {{ИСХОДЯЩИЙ_НОМЕР}} от {{ДАТА_ДОКУМЕНТА}}</w:t>
      </w:r>
    </w:p>
    <w:p>
      <w:r>
        <w:rPr>
          <w:b w:val="0"/>
          <w:i w:val="0"/>
        </w:rPr>
        <w:t>Кому: {{НАИМЕНОВАНИЕ_ЗАКАЗЧИКА}}, ИНН {{ИНН_ЗАКАЗЧИКА}}, ОГРН {{ОГРН_ЗАКАЗЧИКА}}</w:t>
      </w:r>
    </w:p>
    <w:p>
      <w:r>
        <w:rPr>
          <w:b w:val="0"/>
          <w:i w:val="0"/>
        </w:rPr>
        <w:t>Адрес (по выписке ЕГРЮЛ): {{АДРЕС_ЗАКАЗЧИКА}}; адрес для корреспонденции по договору: {{АДРЕС_ПО_ДОГОВОРУ}}</w:t>
      </w:r>
    </w:p>
    <w:p>
      <w:r>
        <w:rPr>
          <w:b w:val="0"/>
          <w:i w:val="0"/>
        </w:rPr>
        <w:t>От: {{НАИМЕНОВАНИЕ_СУБПОДРЯДЧИКА}}, ИНН {{ИНН_СУБПОДРЯДЧИКА}}, ОГРН {{ОГРН_СУБПОДРЯДЧИКА}}, адрес: {{АДРЕС_СУБПОДРЯДЧИКА}}</w:t>
      </w:r>
    </w:p>
    <w:p>
      <w:r>
        <w:rPr>
          <w:b/>
          <w:i w:val="0"/>
        </w:rPr>
        <w:t>ПРЕТЕНЗИЯ (досудебное требование об оплате выполненных работ)</w:t>
      </w:r>
    </w:p>
    <w:p>
      <w:r>
        <w:rPr>
          <w:b w:val="0"/>
          <w:i w:val="0"/>
        </w:rPr>
        <w:t>Между {{НАИМЕНОВАНИЕ_ЗАКАЗЧИКА}} (Заказчик) и {{НАИМЕНОВАНИЕ_СУБПОДРЯДЧИКА}} (Субподрядчик) заключён договор № {{НОМЕР_ДОГОВОРА}} от {{ДАТА_ДОГОВОРА}} (Договор) на выполнение {{ПРЕДМЕТ_ДОГОВОРА}} на объекте {{ОБЪЕКТ}}.</w:t>
      </w:r>
    </w:p>
    <w:p>
      <w:r>
        <w:rPr>
          <w:b w:val="0"/>
          <w:i w:val="0"/>
        </w:rPr>
        <w:t>1. Работы выполнены и приняты Заказчиком, что подтверждается документами: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061"/>
        <w:gridCol w:w="1474"/>
        <w:gridCol w:w="1701"/>
        <w:gridCol w:w="1814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3061"/>
          </w:tcPr>
          <w:p>
            <w:r/>
            <w:r>
              <w:rPr>
                <w:b/>
              </w:rPr>
              <w:t>Документ (КС-2, КС-3, акт), №</w:t>
            </w:r>
          </w:p>
        </w:tc>
        <w:tc>
          <w:tcPr>
            <w:tcW w:type="dxa" w:w="1474"/>
          </w:tcPr>
          <w:p>
            <w:r/>
            <w:r>
              <w:rPr>
                <w:b/>
              </w:rPr>
              <w:t>Дата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Сумма, руб.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Подписан Заказчиком (дата)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3061"/>
          </w:tcPr>
          <w:p/>
        </w:tc>
        <w:tc>
          <w:tcPr>
            <w:tcW w:type="dxa" w:w="1474"/>
          </w:tcPr>
          <w:p/>
        </w:tc>
        <w:tc>
          <w:tcPr>
            <w:tcW w:type="dxa" w:w="1701"/>
          </w:tcPr>
          <w:p/>
        </w:tc>
        <w:tc>
          <w:tcPr>
            <w:tcW w:type="dxa" w:w="1814"/>
          </w:tcPr>
          <w:p/>
        </w:tc>
      </w:tr>
    </w:tbl>
    <w:p/>
    <w:p>
      <w:r>
        <w:rPr>
          <w:b w:val="0"/>
          <w:i w:val="0"/>
        </w:rPr>
        <w:t>2. Согласно п. {{ПУНКТ_ДОГОВОРА_ОБ_ОПЛАТЕ}} Договора [с учётом дополнительного соглашения № {{НОМЕР}} от {{ДАТА}} — если срок переносился] оплата производится {{СРОК_ОПЛАТЫ}}. Срок оплаты истёк {{ДАТА}}. С учётом оплат, перечисленных в таблице ниже, задолженность Заказчика на {{ДАТА_ДОКУМЕНТА}} составляет {{СУММА_ДОЛГА}} руб.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268"/>
        <w:gridCol w:w="3402"/>
        <w:gridCol w:w="2381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Дата оплаты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Платёжное поручение №</w:t>
            </w:r>
          </w:p>
        </w:tc>
        <w:tc>
          <w:tcPr>
            <w:tcW w:type="dxa" w:w="2381"/>
          </w:tcPr>
          <w:p>
            <w:r/>
            <w:r>
              <w:rPr>
                <w:b/>
              </w:rPr>
              <w:t>Сумма, руб.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2268"/>
          </w:tcPr>
          <w:p/>
        </w:tc>
        <w:tc>
          <w:tcPr>
            <w:tcW w:type="dxa" w:w="3402"/>
          </w:tcPr>
          <w:p/>
        </w:tc>
        <w:tc>
          <w:tcPr>
            <w:tcW w:type="dxa" w:w="2381"/>
          </w:tcPr>
          <w:p/>
        </w:tc>
      </w:tr>
    </w:tbl>
    <w:p/>
    <w:p>
      <w:r>
        <w:rPr>
          <w:b w:val="0"/>
          <w:i w:val="0"/>
        </w:rPr>
        <w:t>Обязанность оплатить принятые работы установлена ст. 309, 310, 711, 746 Гражданского кодекса РФ и Договором.</w:t>
      </w:r>
    </w:p>
    <w:p>
      <w:r>
        <w:rPr>
          <w:b w:val="0"/>
          <w:i w:val="0"/>
        </w:rPr>
        <w:t>3. На основании ст. 395 Гражданского кодекса РФ на сумму долга начисляются проценты за пользование чужими денежными средствами, размер которых определяется ключевой ставкой Банка России, действовавшей в соответствующие периоды. По состоянию на {{ДАТА_РАСЧЁТА}} проценты составляют {{СУММА_ПРОЦЕНТОВ}} руб. (расчёт — приложение 2) и продолжают начисляться по день фактической оплаты.</w:t>
      </w:r>
    </w:p>
    <w:p>
      <w:r>
        <w:rPr>
          <w:b w:val="0"/>
          <w:i w:val="0"/>
        </w:rPr>
        <w:t>4. Требуем в срок {{СРОК_ОТВЕТА}} с даты получения претензии: 1) оплатить задолженность {{СУММА_ДОЛГА}} руб.; 2) уплатить проценты по ст. 395 ГК РФ в сумме {{СУММА_ПРОЦЕНТОВ}} руб., рассчитанные по состоянию на {{ДАТА_РАСЧЁТА}}, а также проценты, начисленные после этой даты по день фактической оплаты. Реквизиты: {{БАНКОВСКИЕ_РЕКВИЗИТЫ}}.</w:t>
      </w:r>
    </w:p>
    <w:p>
      <w:r>
        <w:rPr>
          <w:b w:val="0"/>
          <w:i w:val="0"/>
        </w:rPr>
        <w:t>При неисполнении требования Субподрядчик обратится в арбитражный суд с иском о взыскании задолженности, процентов и судебных расходов (ст. 110 АПК РФ).</w:t>
      </w:r>
    </w:p>
    <w:p>
      <w:r>
        <w:rPr>
          <w:b/>
          <w:i w:val="0"/>
        </w:rPr>
        <w:t>Приложения (по реестру приложений, файл 04):</w:t>
      </w:r>
    </w:p>
    <w:p>
      <w:pPr>
        <w:pStyle w:val="ListNumber"/>
      </w:pPr>
      <w:r>
        <w:t>Копии актов и справок по таблице п. 1.</w:t>
      </w:r>
    </w:p>
    <w:p>
      <w:pPr>
        <w:pStyle w:val="ListNumber"/>
      </w:pPr>
      <w:r>
        <w:t>Расчёт процентов по ст. 395 ГК РФ на {{ДАТА_РАСЧЁТА}} (файл 08, лист «Расчёт»).</w:t>
      </w:r>
    </w:p>
    <w:p>
      <w:pPr>
        <w:pStyle w:val="ListNumber"/>
      </w:pPr>
      <w:r>
        <w:t>Реестр взаиморасчётов / акт сверки.</w:t>
      </w:r>
    </w:p>
    <w:p>
      <w:pPr>
        <w:pStyle w:val="ListNumber"/>
      </w:pPr>
      <w:r>
        <w:t>Копия документа, подтверждающего полномочия подписанта (если подписывает не руководитель).</w:t>
      </w:r>
    </w:p>
    <w:p>
      <w:r>
        <w:rPr>
          <w:b w:val="0"/>
          <w:i w:val="0"/>
        </w:rPr>
        <w:t>{{ДОЛЖНОСТЬ_ПОДПИСАНТА}}, {{ОСНОВАНИЕ_ПОЛНОМОЧИЙ}}  _______________  / {{ФИО}} /</w:t>
      </w:r>
    </w:p>
    <w:p>
      <w:pPr>
        <w:pStyle w:val="Heading1"/>
      </w:pPr>
      <w:r>
        <w:t>После отправки</w:t>
      </w:r>
    </w:p>
    <w:p>
      <w:pPr>
        <w:pStyle w:val="ListBullet"/>
      </w:pPr>
      <w:r>
        <w:t>Направьте способом из файла 07. Опись вложения, чек, трек-номер — в файл 04, лист «Реестр передачи»: это будущее приложение к иску.</w:t>
      </w:r>
    </w:p>
    <w:p>
      <w:pPr>
        <w:pStyle w:val="ListBullet"/>
      </w:pPr>
      <w:r>
        <w:t>Дату направления и срок ожидания — в лист «Контроль ответа» (файл 02).</w:t>
      </w:r>
    </w:p>
    <w:p>
      <w:pPr>
        <w:pStyle w:val="ListBullet"/>
      </w:pPr>
      <w:r>
        <w:t>Срок, который вы назначили заказчику, и срок, по истечении которого можно обращаться в суд, — разные сроки. Второй считается со дня направления претензии и определяется договором или ч. 5 ст. 4 АПК РФ; назначенный вами более короткий срок его не сокращает.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Претензия об оплате принятых работ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