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Соглашение о разграничении ответственности на площадке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Как заранее распределить с генподрядчиком, чья зона — место будущего дефекта, повреждения или штрафа. Состав соглашения и правила фиксации.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типовые шаблоны для досудебного ответа на претензии заказчика/генподрядчика, а не юридическая консультация и не гарантия того, что претензию снимут. Комплект помогает не согласиться письменно и в срок — пока молчание или акт сверки без оговорок не превратились в согласие.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Тексты прошли вычитку юристом в типовой редакции. Вычитка типовой редакции не заменяет оценку вашей ситуации: ваш договор может распределять обязанности, риски и порядок фиксации иначе, и приоритет всегда у договора. Перед отправкой сверьте каждый пункт со своим договором.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Сюда не применять: деньги уже удержаны или списаны — возврат удержанного это другой комплект и другая работа; в картотеке арбитражных дел есть дело о банкротстве стороны; спор уже передан в суд; в претензии есть ссылки на проверки государственных органов или признаки уголовного дела. В этих случаях типовой текст создаёт ложную уверенность —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комплекте нет намеренно: они меняются, а скачанный файл не обновляется. Каждый срок вы берёте из своего договора, каждое число —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Заранее распределить между генподрядчиком и субподрядчиком, чья зона — место будущего дефекта, повреждения или штрафа. Документ работает в паре с актом передачи фронта работ: акт фиксирует «что и когда передано», соглашение — «кто за что отвечает, пока идут работы». Без них претензия по чужой вине разбирается по презумпциям, и почти все презумпции — против субподрядчика: риск до приёмки, вина в гарантийный срок.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Правовая опора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Ст. 747 ГК РФ — обязанности заказчика по площадке.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Ст. 750 ГК РФ — сотрудничество сторон.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Ст. 705 и 741 ГК РФ — распределение рисков.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Ст. 706 ГК РФ — структура ответственности генподрядчик — субподрядчик.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Ст. 716 ГК РФ — предупреждения о непригодности материалов и указаний.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Ст. 421 ГК РФ — свобода договора: основание самого соглашения.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Числовых констант в форме нет; сроки уведомлений — плейсхолдерами из вашего договора.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Состав соглашения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Стороны и объект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Реквизиты сторон, договор субподряда, объект, период действия соглашения. Поля берутся из общего словаря полей комплекта.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Зоны физической ответственности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зон: участок (отметки, оси) → ответственная сторона → период ответственности, от передачи фронта до приёмки этапа или работ. Приложение к соглашению — схема с границами зон.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Отдельно фиксируются места совместного доступа — проезды, подъёмники, временные сети — с названным ответственным за каждое.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Разграничение по предметам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400"/>
        <w:gridCol w:w="4660"/>
      </w:tblGrid>
      <w:tr>
        <w:trPr>
          <w:tblHeader/>
        </w:trPr>
        <w:tc>
          <w:tcPr>
            <w:tcW w:type="dxa" w:w="23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Предмет</w:t>
            </w:r>
          </w:p>
        </w:tc>
        <w:tc>
          <w:tcPr>
            <w:tcW w:type="dxa" w:w="2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Правило по умолчанию</w:t>
            </w:r>
          </w:p>
        </w:tc>
        <w:tc>
          <w:tcPr>
            <w:tcW w:type="dxa" w:w="46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фиксирует соглашение</w:t>
            </w:r>
          </w:p>
        </w:tc>
      </w:tr>
      <w:tr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Сохранность выполненных работ до приёмки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риск на субподрядчике</w:t>
            </w:r>
          </w:p>
        </w:tc>
        <w:tc>
          <w:tcPr>
            <w:tcW w:type="dxa" w:w="4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момент допуска третьих лиц в зону = комиссионная фотофиксация состояния; повреждение после допуска — зона допустившего</w:t>
            </w:r>
          </w:p>
        </w:tc>
      </w:tr>
      <w:tr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Давальческие материалы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сохранность на субподрядчике с момента передачи</w:t>
            </w:r>
          </w:p>
        </w:tc>
        <w:tc>
          <w:tcPr>
            <w:tcW w:type="dxa" w:w="4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передача только по акту входного контроля; несоответствие — письменное предупреждение и приостановка (ст. 716 ГК РФ)</w:t>
            </w:r>
          </w:p>
        </w:tc>
      </w:tr>
      <w:tr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Временные коммуникации, освещение, ограждения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4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пообъектно, таблицей</w:t>
            </w:r>
          </w:p>
        </w:tc>
      </w:tr>
      <w:tr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Охрана площадки и пропускной режим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обязанность генподрядчика по договору</w:t>
            </w:r>
          </w:p>
        </w:tc>
        <w:tc>
          <w:tcPr>
            <w:tcW w:type="dxa" w:w="4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границы: что охраняется, в какие часы, куда заявлять хищения</w:t>
            </w:r>
          </w:p>
        </w:tc>
      </w:tr>
      <w:tr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Предписания надзора и штрафы по охране труда и промышленной безопасности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зона нарушителя</w:t>
            </w:r>
          </w:p>
        </w:tc>
        <w:tc>
          <w:tcPr>
            <w:tcW w:type="dxa" w:w="4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порядок установления нарушителя: комиссия с участием обеих сторон в срок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{{СРОК_КОМИССИИ_РАБ_ДНЕЙ}}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; без комиссии эпизод не относится ни на одну сторону автоматически</w:t>
            </w:r>
          </w:p>
        </w:tc>
      </w:tr>
      <w:tr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Штрафы заказчика «транзитом»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 договору субподряда</w:t>
            </w:r>
          </w:p>
        </w:tc>
        <w:tc>
          <w:tcPr>
            <w:tcW w:type="dxa" w:w="4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транзит только при доказанной причастности: копия претензии заказчика передаётся немедленно, субподрядчик вправе участвовать в возражениях</w:t>
            </w:r>
          </w:p>
        </w:tc>
      </w:tr>
      <w:tr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Дефекты на стыках объёмов со смежниками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4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стык описывается заранее (кто чем заканчивается); дефект стыка разбирается комиссией со смежником, а не относится «ближайшему»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Процедуры фиксации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Комиссионный осмотр: срок вызова, способ уведомления — с подтверждением получения, состав комиссии, право привлечь независимого специалиста.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Фотофиксация: обязательна при передаче фронта, сдаче этапа, допуске третьих лиц в зону выполненных работ, обнаружении повреждения.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Односторонние акты: сторона, составившая акт без надлежащего вызова другой, не вправе на него ссылаться — правило зеркалит ст. 720 ГК РФ; точную формулировку пункта для вашего договора согласуйте с юристом.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 Связь с другими документами комплекта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 передачи фронта работ: фиксирует, что и когда передано; соглашение опирается на его даты.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 входного контроля: по нему передаются давальческие материалы (раздел 3).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Чек-лист профилактики претензий: его разделы о площадке опираются на зоны из этого соглашения.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 «навязывают оплату или исправление чужой вины»: вопрос шага 1 «наша ли зона?» отвечается по этому соглашению.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Чем это не является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замена договора и не его правка: соглашение конкретизирует исполнение, а если противоречит договору — действует договор. Пункты, требующие изменения самого договора, — транзит штрафов, безакцептное удержание — в соглашение не включаются: их место — протокол разногласий при подписании договора.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2026-07-31T16:49:33.214Z</dcterms:created>
  <dcterms:modified xsi:type="dcterms:W3CDTF">2026-07-31T16:49:33.214Z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