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Претензия на неоплату по КС-2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Досудебное требование оплатить принятые работы. Шаблон и инструкция.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Нормативная сверка сопоставляет формулировки, сроки и порядок со статьями закона; она не заменяет юридическую консультацию и проверку обстоятельств вашего спора. Шаблон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 обращения в арбитражный суд с денежным требованием из договора соблюдите применимый досудебный порядок: направьте претензию (требование) и выдержите срок и порядок, установленные законом или договором (ч. 5 ст. 4 АПК РФ). При несоблюдении обязательного досудебного порядка до принятия искового заявления суд возвращает его (п. 5 ч. 1 ст. 129 АПК РФ); если нарушение установлено после принятия — оставляет заявление без рассмотрения (п. 2 ч. 1 ст. 148 АПК РФ). Вопрос возврата или зачёта пошлины проверьте по ст. 333.40 НК РФ.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 исковую давность. Пункт 3 ст. 202 ГК РФ предусматривает приостановление её течения при предусмотренной законом процедуре разрешения спора во внесудебном порядке. Применимость этого основания, начало и продолжительность приостановления проверьте с учётом закона, договора и действующих разъяснений суда; не переносите дату окончания давности автоматически из-за отправки претензии. Если давность на исходе, до дальнейших действий сверьте её остаток и применимый досудебный срок с юристом. Назначенный в претензии срок ответа не позволяет подавать иск до окончания применимого досудебного ожидания.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выполнены и приняты: акт КС-2 и справка КС-3 (или иной предусмотренный договором акт) подписаны обеими сторонами.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оплаты по договору истёк, оплата не поступила или поступила частично.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Мягкий шаг — «Уведомление о просрочке оплаты» — либо уже сделан, либо осознанно пропущен. Претензию можно направлять и первым документом.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гарантирует оплату и не выигрывает спор. Это требование, а не решение суда.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подходит, если акты не подписаны заказчиком: уклонение от приёмки и односторонний акт (ст. 753 ГК РФ) — другая, более сложная ситуация. См. раздел Б файла «Алгоритм действий при задержке оплаты» и консультацию юриста.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юридическую консультацию. Если заказчик заявляет встречные требования, зачёт или находится в предбанкротном состоянии — к юристу до отправки.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Поля, на которых чаще всего ошибаются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за вычетом всех частичных оплат. Завышенная сумма в претензии подрывает позицию: ответчик покажет платёжки, и суд увидит, что истец считать не умеет.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сверьте актуальные реквизиты должника по ЕГРЮЛ и адрес для сообщений по договору. Адрес мог смениться; направление по прежнему адресу создаёт риск спора о доставке. Применимые адрес и канал проверьте по договору и фактическим обстоятельствам направления.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считается по договору, а не по формуле. Если последний день срока оплаты нерабочий, днём окончания срока считается ближайший следующий рабочий день (ст. 193 ГК РФ), и просрочка начинается со следующего за ним дня. Полный порядок отсчёта — в файле «Как заполнять: словарь полей», строка этого поля.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из пункта договора о претензионном порядке. Если договор молчит, срок ответа назначаете вы сами: ч. 5 ст. 4 АПК РФ задаёт не срок ответа на претензию, а срок ожидания до подачи иска.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Срок, который вы даёте заказчику, и срок ожидания перед иском — разные вещи. По общему правилу ч. 5 ст. 4 АПК РФ ожидание исчисляется со дня направления претензии, а не со дня её получения; иной срок и порядок проверяются по закону или договору. Назначенный вами более короткий срок ответа ожидание не заменяет. До подачи проверьте основание, длительность, порядок исчисления, начало и окончание применимого срока; до его истечения иск не подавайте.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Полный словарь подстановок — в файле «Как заполнять: словарь полей».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претензии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Ниже — готовый текст. Заполните поля в двойных фигурных скобках,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{{ОГРН_ЗАКАЗЧИКА}}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{{ОГРН_ПОДРЯДЧИКА}}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ПРЕТЕНЗИЯ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(досудебное требование об оплате выполненных работ)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Заказчик)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Подрядчик) заключён договор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Договор), по которому Подрядчик обязался выполнить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{{ПРЕДМЕТ_ДОГОВОРА}}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объекте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Заказчик — принять результат работ и оплатить его.</w:t>
      </w:r>
    </w:p>
    <w:p>
      <w:pPr>
        <w:keepNext/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Работы выполнены и приняты.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Подрядчик выполнил работы, что подтверждается актом о приёмке выполненных работ (форма КС-2)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справкой о стоимости выполненных работ и затрат (форма КС-3)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подписанными обеими сторонами без замечаний. Стоимость принятых работ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{{СУММА_ПО_АКТУ}}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актов несколько — перечислить каждый: номер, дата, сумма. Реестр актов допустимо вынести в приложение.]</w:t>
      </w:r>
    </w:p>
    <w:p>
      <w:pPr>
        <w:keepNext/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Обязанность оплаты наступила и нарушена.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{{ПУНКТ_ДОГОВОРА_ОБ_ОПЛАТЕ}}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оплата производится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{{СРОК_ОПЛАТЫ_ПО_ДОГОВОРУ}}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Срок оплаты истёк;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Заказчик находится в просрочке.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учётом частичных оплат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были — перечислить: дата, сумма, платёжное поручение; если не было — абзац удалить]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задолженность Заказчика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силу ст. 309, 310 Гражданского кодекса РФ обязательства должны исполняться надлежащим образом; односторонний отказ от исполнения не допускается. Обязанность заказчика оплатить принятые работы установлена ст. 711 и ст. 746 Гражданского кодекса РФ и Договором.</w:t>
      </w:r>
    </w:p>
    <w:p>
      <w:pPr>
        <w:keepNext/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На сумму долга начисляются проценты.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ст. 395 Гражданского кодекса РФ за пользование чужими денежными средствами подлежат уплате проценты, размер которых определяется ключевой ставкой Банка России, действовавшей в соответствующие периоды, если иной размер процентов не установлен законом или договором.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проценты составляют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(расчёт — Приложение № 2). Проценты продолжают начисляться по день фактической оплаты, если законом, иными правовыми актами или договором не установлен более короткий срок их начисления.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Договором установлена неустойка за просрочку оплаты (п. {{ПУНКТ_ДОГОВОРА_О_НЕУСТОЙКЕ}}) — заявлять неустойку по договору вместо процентов по ст. 395 ГК РФ: когда соглашением сторон предусмотрена неустойка за неисполнение или ненадлежащее исполнение денежного обязательства, предусмотренные ст. 395 ГК РФ проценты не подлежат взысканию, если иное не предусмотрено законом или договором (п. 4 ст. 395 ГК РФ). Выбор между ними — вопрос к юристу по конкретному договору.]</w:t>
      </w:r>
    </w:p>
    <w:p>
      <w:pPr>
        <w:keepNext/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Требование.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требуем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момента получения настоящей претензии: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1) оплатить задолженность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2) уплатить проценты по ст. 395 ГК РФ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[либо неустойку по п. {{ПУНКТ_ДОГОВОРА_О_НЕУСТОЙКЕ}} Договора]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рассчитанные на дату платежа.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Реквизиты для перечисления: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{{БАНКОВСКИЕ_РЕКВИЗИТЫ_ПОДРЯДЧИКА}}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неисполнении настоящего требования в указанный срок Подрядчик обратится в арбитражный суд с иском о взыскании задолженности, процентов (неустойки), а также судебных расходов, включая государственную пошлину и расходы на представителя (ст. 110 АПК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Копии акта КС-2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справки КС-3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Расчёт процентов по ст. 395 ГК РФ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[Акт сверки взаимных расчётов — при наличии.]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 и отправлять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Проценты или договорная неустойка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Текст претензии выше подготовлен для процентов по ст. 395 ГК РФ. Выберите один вид санкции; при договорной неустойке выполните все замены ниже. При выборе процентов удалите альтернативу неустойки и оставьте только проценты в требовании и предупреждении о суде. Для выбора неустойки сверьте начало и порядок её начисления по договору: они могут отличаться от расчёта процентов по ст. 395 ГК РФ.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Заголовок раздела 3 «На сумму долга начисляются проценты» замените на «Договорная неустойка за просрочку оплаты». Следующий абзац замените целиком: «За просрочку оплаты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{{ПУНКТ_ДОГОВОРА_О_НЕУСТОЙКЕ}}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предусмотрена неустойка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[условия и ставка по договору]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За период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[начало и конец периода]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неустойка составляет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[сумма неустойки, руб.]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(расчёт — Приложение № 2).»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Пояснение в квадратных скобках после раздела 3 удалите после выбора ветки. Пункт 2 требования замените целиком: «2) уплатить неустойку по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{{ПУНКТ_ДОГОВОРА_О_НЕУСТОЙКЕ}}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в размере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[сумма неустойки, руб.]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 период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[начало и конец периода]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.» Не копируйте автоматически продолжение процентов по день оплаты; дальнейшее начисление неустойки проверяют отдельно по договору.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В предупреждении об обращении в суд замените «процентов (неустойки)» на «неустойки»; в ветке процентов — на «процентов».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Приложение № 2 замените на «2. Расчёт договорной неустойки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». Приложите собственный расчёт по договору с периодом, базой, условиями, ставкой и учётом оплат. Файл 14 рассчитывает только проценты по ст. 395 ГК РФ и для неустойки не используется. Поле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используйте для суммы неустойки.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Проверьте название раздела 3, обоснование, пункт 2 требования, предупреждение о суде и Приложение № 2: остаётся одна ветка, одна дата, период и сумма; другую ветку удалите.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Отправка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Почтой России ценным письмом с описью вложения и уведомлением о вручении на юридический адрес по выписке ЕГРЮЛ. Дополнительно — на адрес электронной почты, указанный в договоре, если договором такой канал предусмотрен.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Сохраните доказательства состава, направления и доставки претензии по выбранному каналу. При почтовой отправке сохраните опись вложения, чек и трек-номер; при другом предусмотренном договором канале — соответствующие подтверждения. Они понадобятся для подтверждения соблюдения досудебного порядка.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Если договор не устанавливает срок оплаты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Ситуация решается через ст. 314 ГК РФ (срок исполнения обязательства) и ст. 711 ГК РФ, но определение даты начала просрочки здесь спорно. Согласуйте дату с юристом, а не выбирайте её на глаз: от неё считаются проценты, и ошибка в дате — это ошибка в сумме.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 формах КС-2 и КС-3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КС-2 и КС-3 — унифицированные формы первичной учётной документации в капитальном строительстве; в договорах и в практике их вводят со ссылкой на постановление Госкомстата России от 11.11.1999 № 100. Реквизиты этого акта и правило об обязательности либо необязательности унифицированных форм в нормативный контур комплекта не входят и по официальному публикатору нами не сверялись: если ссылка на него нужна в вашем документе, проверьте её в правовой базе. На требование об оплате она не влияет — право требовать деньги даёт договор и подписанный акт, а не акт, которым введена форма бланка.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договор предусматривает собственные формы актов — ссылайтесь в тексте на акт, названный в договоре.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Почему в шаблоне нет ни одного числа из законодательства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 ставки, ни срока, ни размера пошлины числом здесь нет — это сделано намеренно. Значения меняются, а скачанный файл не обновляется сам. Каждое число приносит тот, кто заполняет, из названного источника на дату документа. Шаблон, в котором зашита прошлогодняя ставка, опаснее шаблона без неё.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34383B"/>
      <w:sz w:val="32"/>
      <w:szCs w:val="32"/>
    </w:rPr>
  </w:style>
  <w:style w:type="paragraph" w:styleId="Heading2">
    <w:name w:val="Heading 2"/>
    <w:basedOn w:val="Normal"/>
    <w:next w:val="Normal"/>
    <w:qFormat/>
    <w:rPr>
      <w:color w:val="34383B"/>
      <w:sz w:val="26"/>
      <w:szCs w:val="26"/>
    </w:rPr>
  </w:style>
  <w:style w:type="paragraph" w:styleId="Heading3">
    <w:name w:val="Heading 3"/>
    <w:basedOn w:val="Normal"/>
    <w:next w:val="Normal"/>
    <w:qFormat/>
    <w:rPr>
      <w:color w:val="34383B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34383B"/>
    </w:rPr>
  </w:style>
  <w:style w:type="paragraph" w:styleId="Heading5">
    <w:name w:val="Heading 5"/>
    <w:basedOn w:val="Normal"/>
    <w:next w:val="Normal"/>
    <w:qFormat/>
    <w:rPr>
      <w:color w:val="34383B"/>
    </w:rPr>
  </w:style>
  <w:style w:type="paragraph" w:styleId="Heading6">
    <w:name w:val="Heading 6"/>
    <w:basedOn w:val="Normal"/>
    <w:next w:val="Normal"/>
    <w:qFormat/>
    <w:rPr>
      <w:color w:val="34383B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34383B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2026-10-08T08:54:06.318Z</dcterms:created>
  <dcterms:modified xsi:type="dcterms:W3CDTF">2026-10-08T08:54:06.318Z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