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20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34"/>
          <w:szCs w:val="32"/>
        </w:rPr>
        <w:t xml:space="preserve">Претензия на неоплату по КС-2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i/>
          <w:iCs/>
          <w:color w:val="262F37"/>
          <w:sz w:val="21"/>
          <w:szCs w:val="24"/>
        </w:rPr>
        <w:t xml:space="preserve">Форма досудебного требования об оплате принятых работ и порядок заполнения.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Результат применения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До обращения в арбитражный суд с денежным требованием из договора соблюдите применимый досудебный порядок: направьте претензию (требование) и выдержите срок и порядок, установленные законом или договором (ч. 5 ст. 4 АПК РФ). При несоблюдении обязательного досудебного порядка до принятия искового заявления суд возвращает его (п. 5 ч. 1 ст. 129 АПК РФ); если нарушение установлено после принятия — оставляет заявление без рассмотрения (п. 2 ч. 1 ст. 148 АПК РФ). Вопрос возврата или зачёта пошлины проверьте по ст. 333.40 НК РФ.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Про исковую давность. Пункт 3 ст. 202 ГК РФ предусматривает приостановление её течения при предусмотренной законом процедуре разрешения спора во внесудебном порядке. Применимость этого основания, начало и продолжительность приостановления проверьте с учётом закона, договора и действующих разъяснений суда; не переносите дату окончания давности автоматически из-за отправки претензии. Если давность на исходе, до дальнейших действий сверьте её остаток и применимый досудебный срок по документам и действующим нормам. Назначенный в претензии срок ответа не позволяет подавать иск до окончания применимого досудебного ожидания.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Работы выполнены и приняты: акт КС-2 и справка КС-3 (или иной предусмотренный договором акт) подписаны обеими сторонами.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Срок оплаты по договору истёк, оплата не поступила или поступила частично.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Мягкий шаг — «Уведомление о просрочке оплаты» — либо уже сделан, либо осознанно пропущен. Претензию можно направлять и первым документом.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Как выбрать маршрут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При подписанных актах направьте требование об оплате с подтверждённой суммой долга и доказательствами отправки.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При уклонении заказчика от приёмки или одностороннем акте (ст. 753 ГК РФ) откройте раздел Б файла «Алгоритм действий при задержке оплаты» и соберите подтверждения сдачи работ.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При встречных требованиях, зачёте или признаках банкротства сопоставьте документы и определите применимый порядок предъявления требования.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Поля, на которых чаще всего ошибаются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— за вычетом всех частичных оплат. Завышенная сумма в претензии подрывает позицию: ответчик покажет платёжки, и суд увидит, что истец считать не умеет.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{{АДРЕС_ЗАКАЗЧИКА}}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— сверьте актуальные реквизиты должника по ЕГРЮЛ и адрес для сообщений по договору. Адрес мог смениться; направление по прежнему адресу создаёт риск спора о доставке. Применимые адрес и канал проверьте по договору и фактическим обстоятельствам направления.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— считается по договору, а не по формуле. Если последний день срока оплаты нерабочий, днём окончания срока считается ближайший следующий рабочий день (ст. 193 ГК РФ), и просрочка начинается со следующего за ним дня. Полный порядок отсчёта — в файле «Как заполнять: словарь полей», строка этого поля.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— из пункта договора о претензионном порядке. Если договор молчит, срок ответа назначаете вы сами: ч. 5 ст. 4 АПК РФ задаёт не срок ответа на претензию, а срок ожидания до подачи иска.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Срок, который вы даёте заказчику, и срок ожидания перед иском — разные вещи. По общему правилу ч. 5 ст. 4 АПК РФ ожидание исчисляется со дня направления претензии, а не со дня её получения; иной срок и порядок проверяются по закону или договору. Назначенный вами более короткий срок ответа ожидание не заменяет. До подачи проверьте основание, длительность, порядок исчисления, начало и окончание применимого срока; до его истечения иск не подавайте.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Полный словарь подстановок — в файле «Как заполнять: словарь полей».</w:t>
      </w:r>
    </w:p>
    <w:p>
      <w:pPr>
        <w:spacing w:after="60"/>
      </w:pPr>
      <w:r>
        <w:rPr>
          <w:rFonts w:ascii="Times New Roman" w:hAnsi="Times New Roman"/>
          <w:color w:val="262F37"/>
          <w:sz w:val="21"/>
        </w:rPr>
        <w:br w:type="page"/>
      </w:r>
    </w:p>
    <w:p>
      <w:pPr>
        <w:pStyle w:val="Heading1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32"/>
        </w:rPr>
        <w:t xml:space="preserve">Текст претензии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i/>
          <w:iCs/>
          <w:color w:val="262F37"/>
          <w:sz w:val="21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60" w:before="120"/>
      </w:pP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{{НАИМЕНОВАНИЕ_ЗАКАЗЧИКА}}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{{ОГРН_ЗАКАЗЧИКА}}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{{АДРЕС_ЗАКАЗЧИКА}}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{{НАИМЕНОВАНИЕ_ПОДРЯДЧИКА}}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{{ОГРН_ПОДРЯДЧИКА}}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{{АДРЕС_ПОДРЯДЧИКА}}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{{ДАТА_ДОКУМЕНТА}}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4"/>
        </w:rPr>
        <w:t xml:space="preserve">ПРЕТЕНЗИЯ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(досудебное требование об оплате выполненных работ)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Между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(далее — Заказчик)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(далее — Подрядчик)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(далее — Договор), по которому Подрядчик обязался выполнить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, а Заказчик — принять результат работ и оплатить его.</w:t>
      </w:r>
    </w:p>
    <w:p>
      <w:pPr>
        <w:keepNext/>
        <w:spacing w:after="60" w:line="276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4"/>
        </w:rPr>
        <w:t xml:space="preserve">1. Работы выполнены и приняты.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Подрядчик выполнил работы,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, подписанными обеими сторонами без замечаний. Стоимость принятых работ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[Если актов несколько — перечислить каждый: номер, дата, сумма. Реестр актов допустимо вынести в приложение.]</w:t>
      </w:r>
    </w:p>
    <w:p>
      <w:pPr>
        <w:keepNext/>
        <w:spacing w:after="60" w:line="276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4"/>
        </w:rPr>
        <w:t xml:space="preserve">2. Обязанность оплаты наступила и нарушена.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. Срок оплаты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Заказчик находится в просрочке.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[если были — перечислить: дата, сумма, платёжное поручение; если не было — абзац удалить]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задолженность Заказчика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В силу ст. 309, 310 Гражданского кодекса РФ обязательства должны исполняться надлежащим образом; односторонний отказ от исполнения не допускается. Обязанность заказчика оплатить принятые работы установлена ст. 711 и ст. 746 Гражданского кодекса РФ и Договором.</w:t>
      </w:r>
    </w:p>
    <w:p>
      <w:pPr>
        <w:keepNext/>
        <w:spacing w:after="60" w:line="276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4"/>
        </w:rPr>
        <w:t xml:space="preserve">3. На сумму долга начисляются проценты.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На основании ст. 395 Гражданского кодекса РФ за пользование чужими денежными средствами подлежат уплате проценты, размер которых определяется ключевой ставкой Банка России, действовавшей в соответствующие периоды, если иной размер процентов не установлен законом или договором.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(расчёт — Приложение № 2). Проценты продолжают начисляться по день фактической оплаты, если законом, иными правовыми актами или договором не установлен более короткий срок их начисления.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[Если Договором установлена неустойка за просрочку оплаты (п. {{ПУНКТ_ДОГОВОРА_О_НЕУСТОЙКЕ}}) — заявлять неустойку по договору вместо процентов по ст. 395 ГК РФ: когда соглашением сторон предусмотрена неустойка за неисполнение или ненадлежащее исполнение денежного обязательства, предусмотренные ст. 395 ГК РФ проценты не подлежат взысканию, если иное не предусмотрено законом или договором (п. 4 ст. 395 ГК РФ). Выбор требования сделайте по условиям конкретного договора и расчёту.]</w:t>
      </w:r>
    </w:p>
    <w:p>
      <w:pPr>
        <w:keepNext/>
        <w:spacing w:after="60" w:line="276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4"/>
        </w:rPr>
        <w:t xml:space="preserve">4. Требование.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На основании изложенного требуем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с момента получения настоящей претензии: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1) оплатить задолженность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;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2) уплатить проценты по ст. 395 ГК РФ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[либо неустойку по п. {{ПУНКТ_ДОГОВОРА_О_НЕУСТОЙКЕ}} Договора]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, рассчитанные на дату платежа.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Реквизиты для перечисления: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{{БАНКОВСКИЕ_РЕКВИЗИТЫ_ПОДРЯДЧИКА}}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При неисполнении настоящего требования в указанный срок Подрядчик обратится в арбитражный суд с иском о взыскании задолженности, процентов (неустойки), а также судебных расходов, включая государственную пошлину и расходы на представителя (ст. 110 АПК РФ).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4"/>
        </w:rPr>
        <w:t xml:space="preserve">Приложения: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1. Копии акта КС-2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и справки КС-3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2. Расчёт процентов по ст. 395 ГК РФ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[Акт сверки взаимных расчётов — при наличии.]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{{ОСНОВАНИЕ_ПОЛНОМОЧИЙ}}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/</w:t>
      </w:r>
    </w:p>
    <w:p>
      <w:pPr>
        <w:spacing w:after="60"/>
      </w:pPr>
      <w:r>
        <w:rPr>
          <w:rFonts w:ascii="Times New Roman" w:hAnsi="Times New Roman"/>
          <w:color w:val="262F37"/>
          <w:sz w:val="21"/>
        </w:rPr>
        <w:br w:type="page"/>
      </w:r>
    </w:p>
    <w:p>
      <w:pPr>
        <w:pStyle w:val="Heading1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32"/>
        </w:rPr>
        <w:t xml:space="preserve">Как заполнять и отправлять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Проценты или договорная неустойка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Текст претензии выше подготовлен для процентов по ст. 395 ГК РФ. Выберите один вид санкции; при договорной неустойке выполните все замены ниже. При выборе процентов удалите альтернативу неустойки и оставьте только проценты в требовании и предупреждении о суде. Для выбора неустойки сверьте начало и порядок её начисления по договору: они могут отличаться от расчёта процентов по ст. 395 ГК РФ.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1. Заголовок раздела 3 «На сумму долга начисляются проценты» замените на «Договорная неустойка за просрочку оплаты». Следующий абзац замените целиком: «За просрочку оплаты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{{ПУНКТ_ДОГОВОРА_О_НЕУСТОЙКЕ}}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Договора предусмотрена неустойка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[условия и ставка по договору]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. За период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[начало и конец периода]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неустойка составляет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[сумма неустойки, руб.]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(расчёт — Приложение № 2).»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2. Пояснение в квадратных скобках после раздела 3 удалите после выбора ветки. Пункт 2 требования замените целиком: «2) уплатить неустойку по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{{ПУНКТ_ДОГОВОРА_О_НЕУСТОЙКЕ}}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Договора в размере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[сумма неустойки, руб.]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за период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62F37"/>
          <w:sz w:val="21"/>
          <w:szCs w:val="24"/>
        </w:rPr>
        <w:t xml:space="preserve">[начало и конец периода]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.» Не копируйте автоматически продолжение процентов по день оплаты; дальнейшее начисление неустойки проверяют отдельно по договору.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3. В предупреждении об обращении в суд замените «процентов (неустойки)» на «неустойки»; в ветке процентов — на «процентов».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4. Приложение № 2 замените на «2. Расчёт договорной неустойки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». Приложите собственный расчёт по договору с периодом, базой, условиями, ставкой и учётом оплат. Файл 14 рассчитывает только проценты по ст. 395 ГК РФ и для неустойки не используется. Поле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не используйте для суммы неустойки.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5. Проверьте название раздела 3, обоснование, пункт 2 требования, предупреждение о суде и Приложение № 2: остаётся одна ветка, одна дата, период и сумма; другую ветку удалите.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Отправка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Почтой России ценным письмом с описью вложения и уведомлением о вручении на юридический адрес по выписке ЕГРЮЛ. Дополнительно — на адрес электронной почты, указанный в договоре, если договором такой канал предусмотрен.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Сохраните доказательства состава, направления и доставки претензии по выбранному каналу. При почтовой отправке сохраните опись вложения, чек и трек-номер; при другом предусмотренном договором канале — соответствующие подтверждения. Они понадобятся для подтверждения соблюдения досудебного порядка.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Если договор не устанавливает срок оплаты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Ситуация решается через ст. 314 ГК РФ (срок исполнения обязательства) и ст. 711 ГК РФ, но определение даты начала просрочки здесь спорно. Согласуйте дату по условиям договора и подтверждениям: от неё считаются проценты, и ошибка в дате — это ошибка в сумме.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О формах КС-2 и КС-3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КС-2 и КС-3 — унифицированные формы первичной учётной документации в капитальном строительстве; в договорах и в практике их вводят со ссылкой на постановление Госкомстата России от 11.11.1999 № 100. Реквизиты этого акта и правило об обязательности либо необязательности унифицированных форм в нормативный контур комплекта не входят и по официальному публикатору нами не сверялись: если ссылка на него нужна в вашем документе, проверьте её в правовой базе. На требование об оплате она не влияет — право требовать деньги даёт договор и подписанный акт, а не акт, которым введена форма бланка.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Если договор предусматривает собственные формы актов — ссылайтесь в тексте на акт, названный в договоре.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Актуальные ставки, сроки и пошлина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Для расчёта возьмите значения ставки, срока и пошлины из названных источников на дату документа. Так сумма требования и комплект приложений опираются на актуальные данные.</w:t>
      </w:r>
    </w:p>
    <w:sectPr>
      <w:pgSz w:w="11906" w:h="16838" w:orient="portrait"/>
      <w:pgMar w:top="964" w:right="1020" w:bottom="964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pPr>
      <w:spacing w:after="180"/>
    </w:pPr>
    <w:rPr>
      <w:rFonts w:ascii="Times New Roman" w:hAnsi="Times New Roman"/>
      <w:b/>
      <w:color w:val="000000"/>
      <w:sz w:val="34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2026-10-08T17:02:01.920Z</dcterms:created>
  <dcterms:modified xsi:type="dcterms:W3CDTF">2026-10-08T17:02:01.920Z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