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100"/>
        <w:jc w:val="left"/>
      </w:pPr>
      <w:r>
        <w:rPr>
          <w:rFonts w:ascii="Arial" w:hAnsi="Arial" w:eastAsia="Arial"/>
          <w:b/>
          <w:color w:val="2F343A"/>
          <w:sz w:val="30"/>
        </w:rPr>
        <w:t>ПАМЯТКА ПО ОПРЕДЕЛЕНИЮ СРОКОВ ХРАНЕНИЯ ДОКУМЕНТОВ КОМПЛЕКТА КС</w:t>
      </w:r>
    </w:p>
    <w:p>
      <w:pPr>
        <w:keepLines/>
      </w:pPr>
    </w:p>
    <w:p>
      <w:pPr>
        <w:pStyle w:val="Heading1"/>
        <w:keepLines/>
        <w:spacing w:after="100"/>
      </w:pPr>
      <w:r>
        <w:rPr>
          <w:rFonts w:ascii="Arial" w:hAnsi="Arial" w:eastAsia="Arial"/>
          <w:b/>
          <w:color w:val="2F343A"/>
          <w:sz w:val="23"/>
        </w:rPr>
        <w:t>1. Классифицируйте документ до назначения срока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1927"/>
            <w:vAlign w:val="center"/>
            <w:shd w:fill="2F343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2438"/>
            <w:vAlign w:val="center"/>
            <w:shd w:fill="2F343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Базовая квалификация</w:t>
            </w:r>
          </w:p>
        </w:tc>
        <w:tc>
          <w:tcPr>
            <w:tcW w:type="dxa" w:w="3231"/>
            <w:vAlign w:val="center"/>
            <w:shd w:fill="2F343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проверить</w:t>
            </w:r>
          </w:p>
        </w:tc>
        <w:tc>
          <w:tcPr>
            <w:tcW w:type="dxa" w:w="2381"/>
            <w:vAlign w:val="center"/>
            <w:shd w:fill="2F343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Рабочее действие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КС-2, КС-3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Первичные учетные документы, если ими оформлен факт хозяйственной жизни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Ст. 29 Закона № 402-ФЗ: не менее 5 лет после отчетного года. Сверьте также архивный, налоговый, договорный и спорный сроки.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Зафиксируйте отчетный год и примените наиболее длительный действующий срок.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Акты освидетельствования скрытых работ</w:t>
            </w:r>
          </w:p>
        </w:tc>
        <w:tc>
          <w:tcPr>
            <w:tcW w:type="dxa" w:w="2438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Исполнительная документация по фактической функции документа</w:t>
            </w:r>
          </w:p>
        </w:tc>
        <w:tc>
          <w:tcPr>
            <w:tcW w:type="dxa" w:w="323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Договор, состав исполнительной документации, требования передачи заказчику, номенклатура дел и точная статья перечня Росархива.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Не уничтожайте до классификации и завершения передачи, гарантии, претензий и споров.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Исполнительные схемы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Исполнительная документация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Требования проекта и договора, комплект передачи заказчику, номенклатура дел, точная статья перечня.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Храните в составе идентифицированного дела; срок считайте от указанного для этого дела события.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Журналы работ</w:t>
            </w:r>
          </w:p>
        </w:tc>
        <w:tc>
          <w:tcPr>
            <w:tcW w:type="dxa" w:w="2438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Исполнительная документация и журналы конкретного вида</w:t>
            </w:r>
          </w:p>
        </w:tc>
        <w:tc>
          <w:tcPr>
            <w:tcW w:type="dxa" w:w="323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Какой именно журнал, кто обязан его вести, кому передается, точная статья перечня.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Не переносите срок с другого вида журнала. Назначьте ответственного и событие начала срока.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Сертификаты и документы качества материалов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Подтверждающие документы к материалам и работам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Связь с партией, работой и исполнительным делом; договор; номенклатура; точная статья перечня.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Храните с реестром и ссылкой на партию/работу до закрытия применимых обязательств.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Паспорта на изделия</w:t>
            </w:r>
          </w:p>
        </w:tc>
        <w:tc>
          <w:tcPr>
            <w:tcW w:type="dxa" w:w="2438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Документы изготовителя и эксплуатации</w:t>
            </w:r>
          </w:p>
        </w:tc>
        <w:tc>
          <w:tcPr>
            <w:tcW w:type="dxa" w:w="323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Назначение паспорта, срок службы изделия, договор и требования передачи/эксплуатации.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Не назначайте единый срок всем паспортам; привяжите решение к изделию и делу.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Переписка с заказчиком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Переписка по конкретному вопросу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Предмет переписки: цена, приемка, недостатки, претензия, ЭП и т.д. Пункт 572 Приказа Росархива № 236 не является общей нормой для всей переписки.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Классифицируйте по предмету. При споре или претензии сохраните полный контекст и вложения.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Сметная документация</w:t>
            </w:r>
          </w:p>
        </w:tc>
        <w:tc>
          <w:tcPr>
            <w:tcW w:type="dxa" w:w="2438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Сметные, договорные и/или учетные документы по фактической роли</w:t>
            </w:r>
          </w:p>
        </w:tc>
        <w:tc>
          <w:tcPr>
            <w:tcW w:type="dxa" w:w="323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Связь со сметой, договором, КС-2/КС-3, учетом и архивным делом.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F343A"/>
                <w:sz w:val="15"/>
              </w:rPr>
              <w:t>Разделите версии и утвержденный экземпляр; срок назначьте по каждой фактической функции.</w:t>
            </w:r>
          </w:p>
        </w:tc>
      </w:tr>
    </w:tbl>
    <w:p>
      <w:pPr>
        <w:keepLines/>
      </w:pPr>
    </w:p>
    <w:p>
      <w:pPr>
        <w:pStyle w:val="Heading1"/>
        <w:keepLines/>
      </w:pPr>
      <w:r>
        <w:rPr>
          <w:rFonts w:ascii="Arial" w:hAnsi="Arial" w:eastAsia="Arial"/>
          <w:b/>
          <w:color w:val="2F343A"/>
          <w:sz w:val="23"/>
        </w:rPr>
        <w:t>2. Алгоритм назначения срока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9"/>
        </w:rPr>
        <w:t>1) Зафиксируйте точное наименование, версию, дату, роль документа и связанный договор/объект.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9"/>
        </w:rPr>
        <w:t>2) Определите фактическую функцию: учетная, исполнительная, договорная, эксплуатационная или переписка по конкретному вопросу.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9"/>
        </w:rPr>
        <w:t>3) Сопоставьте точную статью действующего перечня, правила учета, договор, проект и утвержденную номенклатуру дел. Не переносите срок с похожего документа.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9"/>
        </w:rPr>
        <w:t>4) Запишите срок, событие начала его исчисления, место хранения, ответственного и основание в реестре.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9"/>
        </w:rPr>
        <w:t>5) До уничтожения проверьте передачу заказчику, гарантию, аудит, налоговую проверку, претензии и споры. При открытом основании уничтожение остановите.</w:t>
      </w:r>
    </w:p>
    <w:p>
      <w:pPr>
        <w:keepLines/>
        <w:spacing w:before="100"/>
      </w:pPr>
      <w:r>
        <w:rPr>
          <w:rFonts w:ascii="Arial" w:hAnsi="Arial" w:eastAsia="Arial"/>
          <w:b/>
          <w:color w:val="2F343A"/>
          <w:sz w:val="23"/>
        </w:rPr>
        <w:t>3. Нормативные опоры и границы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6"/>
        </w:rPr>
        <w:t>Федеральный закон от 06.12.2011 № 402-ФЗ, ст. 29: первичные учетные документы хранятся по правилам архивного дела, но не менее пяти лет после отчетного года. https://minfin.gov.ru/ru/document?id_4=15014-federalnyi_zakon_ot_06.12.2011__402-fz_o_bukhgalterskom_uchete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6"/>
        </w:rPr>
        <w:t>Приказ Росархива от 20.12.2019 № 236: срок выбирают по точной категории документа. Ранее указанные пункты 424 и 572 не подтверждают универсальные сроки для комплекта КС. https://publication.pravo.gov.ru/Document/View/0001202002070036</w:t>
      </w:r>
    </w:p>
    <w:p>
      <w:pPr>
        <w:keepLines/>
        <w:spacing w:after="40"/>
      </w:pPr>
      <w:r>
        <w:rPr>
          <w:rFonts w:ascii="Arial" w:hAnsi="Arial" w:eastAsia="Arial"/>
          <w:b w:val="0"/>
          <w:color w:val="2F343A"/>
          <w:sz w:val="16"/>
        </w:rPr>
        <w:t>Приказ Минстроя России от 16.05.2023 № 344/пр используется для состава и ведения исполнительной документации, но сам по себе не задает единый срок всем перечисленным здесь документам. https://publication.pravo.gov.ru/document/0001202306010019</w:t>
      </w:r>
    </w:p>
    <w:p>
      <w:pPr>
        <w:keepLines/>
        <w:spacing w:after="40" w:before="60"/>
      </w:pPr>
      <w:r>
        <w:rPr>
          <w:rFonts w:ascii="Arial" w:hAnsi="Arial" w:eastAsia="Arial"/>
          <w:b/>
          <w:color w:val="7D5E20"/>
          <w:sz w:val="16"/>
        </w:rPr>
        <w:t>Эта памятка не заменяет номенклатуру дел, договор, решение архива или правовую оценку конкретного объекта.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F34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