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564"/>
          <w:sz w:val="72"/>
        </w:rPr>
        <w:t>mSeva Punjab</w:t>
      </w:r>
    </w:p>
    <w:p>
      <w:pPr>
        <w:jc w:val="center"/>
      </w:pPr>
      <w:r>
        <w:rPr>
          <w:b/>
          <w:color w:val="2E74B5"/>
          <w:sz w:val="44"/>
        </w:rPr>
        <w:t>Infrastructure &amp; Operations</w:t>
      </w:r>
    </w:p>
    <w:p>
      <w:pPr>
        <w:jc w:val="center"/>
      </w:pPr>
      <w:r>
        <w:rPr>
          <w:i/>
          <w:color w:val="808080"/>
          <w:sz w:val="26"/>
        </w:rPr>
        <w:t>Management Overview  —  State Data Centre (SDC) Deployment</w:t>
      </w:r>
    </w:p>
    <w:p>
      <w:pPr>
        <w:spacing w:before="0" w:after="4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550"/>
        <w:gridCol w:w="2550"/>
        <w:gridCol w:w="2550"/>
        <w:gridCol w:w="2550"/>
      </w:tblGrid>
      <w:tr>
        <w:tc>
          <w:tcPr>
            <w:tcW w:type="dxa" w:w="2466"/>
            <w:shd w:val="clear" w:color="auto" w:fill="1F3564"/>
            <w:vAlign w:val="center"/>
          </w:tcPr>
          <w:p>
            <w:pPr>
              <w:spacing w:before="200" w:after="200"/>
              <w:jc w:val="center"/>
            </w:pPr>
            <w:r>
              <w:rPr>
                <w:b/>
                <w:color w:val="FFFFFF"/>
                <w:sz w:val="56"/>
              </w:rPr>
              <w:t>100+</w:t>
              <w:br/>
            </w:r>
            <w:r>
              <w:rPr>
                <w:color w:val="FFFFFF"/>
                <w:sz w:val="18"/>
              </w:rPr>
              <w:t>Urban Local</w:t>
              <w:br/>
              <w:t>Bodies Served</w:t>
            </w:r>
          </w:p>
        </w:tc>
        <w:tc>
          <w:tcPr>
            <w:tcW w:type="dxa" w:w="2466"/>
            <w:shd w:val="clear" w:color="auto" w:fill="2E74B5"/>
            <w:vAlign w:val="center"/>
          </w:tcPr>
          <w:p>
            <w:pPr>
              <w:spacing w:before="200" w:after="200"/>
              <w:jc w:val="center"/>
            </w:pPr>
            <w:r>
              <w:rPr>
                <w:b/>
                <w:color w:val="FFFFFF"/>
                <w:sz w:val="56"/>
              </w:rPr>
              <w:t>50+</w:t>
              <w:br/>
            </w:r>
            <w:r>
              <w:rPr>
                <w:color w:val="FFFFFF"/>
                <w:sz w:val="18"/>
              </w:rPr>
              <w:t>Microservices</w:t>
              <w:br/>
              <w:t>Running</w:t>
            </w:r>
          </w:p>
        </w:tc>
        <w:tc>
          <w:tcPr>
            <w:tcW w:type="dxa" w:w="2466"/>
            <w:shd w:val="clear" w:color="auto" w:fill="007987"/>
            <w:vAlign w:val="center"/>
          </w:tcPr>
          <w:p>
            <w:pPr>
              <w:spacing w:before="200" w:after="200"/>
              <w:jc w:val="center"/>
            </w:pPr>
            <w:r>
              <w:rPr>
                <w:b/>
                <w:color w:val="FFFFFF"/>
                <w:sz w:val="56"/>
              </w:rPr>
              <w:t>3</w:t>
              <w:br/>
            </w:r>
            <w:r>
              <w:rPr>
                <w:color w:val="FFFFFF"/>
                <w:sz w:val="18"/>
              </w:rPr>
              <w:t>SDC Environments</w:t>
              <w:br/>
              <w:t>(Dev/UAT/Prod)</w:t>
            </w:r>
          </w:p>
        </w:tc>
        <w:tc>
          <w:tcPr>
            <w:tcW w:type="dxa" w:w="2466"/>
            <w:shd w:val="clear" w:color="auto" w:fill="ED7D31"/>
            <w:vAlign w:val="center"/>
          </w:tcPr>
          <w:p>
            <w:pPr>
              <w:spacing w:before="200" w:after="200"/>
              <w:jc w:val="center"/>
            </w:pPr>
            <w:r>
              <w:rPr>
                <w:b/>
                <w:color w:val="FFFFFF"/>
                <w:sz w:val="56"/>
              </w:rPr>
              <w:t>2</w:t>
              <w:br/>
            </w:r>
            <w:r>
              <w:rPr>
                <w:color w:val="FFFFFF"/>
                <w:sz w:val="18"/>
              </w:rPr>
              <w:t>Kafka Modes</w:t>
              <w:br/>
              <w:t>(KRaft + Zookeeper)</w:t>
            </w:r>
          </w:p>
        </w:tc>
      </w:tr>
    </w:tbl>
    <w:p>
      <w:pPr>
        <w:spacing w:before="0" w:after="400"/>
      </w:pPr>
    </w:p>
    <w:p>
      <w:pPr>
        <w:jc w:val="center"/>
      </w:pPr>
      <w:r>
        <w:rPr>
          <w:color w:val="808080"/>
          <w:sz w:val="20"/>
        </w:rPr>
        <w:t>Deployed on Punjab State Data Centre  |  NIC / OpenStack  |  pmidcio Container Registry</w:t>
      </w: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1F3564"/>
          </w:tcPr>
          <w:p>
            <w:pPr>
              <w:spacing w:before="120" w:after="120"/>
            </w:pPr>
            <w:r>
              <w:rPr>
                <w:b/>
                <w:color w:val="FFFFFF"/>
                <w:sz w:val="26"/>
              </w:rPr>
              <w:t xml:space="preserve">  1.  What is mSeva Punjab?</w:t>
            </w:r>
          </w:p>
        </w:tc>
      </w:tr>
    </w:tbl>
    <w:p>
      <w:pPr>
        <w:spacing w:before="0" w:after="100"/>
      </w:pPr>
    </w:p>
    <w:p>
      <w:pPr>
        <w:spacing w:after="160" w:before="0"/>
        <w:jc w:val="left"/>
      </w:pPr>
      <w:r>
        <w:rPr>
          <w:b w:val="0"/>
          <w:i w:val="0"/>
          <w:sz w:val="22"/>
        </w:rPr>
        <w:t>mSeva is Punjab's statewide digital governance platform hosted entirely on the State Data Centre (SDC) — Punjab government's own on-premise infrastructure. Citizens across every Urban Local Body (ULB) in Punjab use it to pay property tax, apply for licenses, file complaints, and access government services — without visiting a government office.</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550"/>
        <w:gridCol w:w="2550"/>
        <w:gridCol w:w="2550"/>
        <w:gridCol w:w="2550"/>
      </w:tblGrid>
      <w:tr>
        <w:tc>
          <w:tcPr>
            <w:tcW w:type="dxa" w:w="2466"/>
            <w:shd w:val="clear" w:color="auto" w:fill="2E74B5"/>
            <w:vAlign w:val="center"/>
          </w:tcPr>
          <w:p>
            <w:pPr>
              <w:spacing w:before="120" w:after="120"/>
              <w:jc w:val="center"/>
            </w:pPr>
            <w:r>
              <w:rPr>
                <w:b/>
                <w:color w:val="FFFFFF"/>
                <w:sz w:val="19"/>
              </w:rPr>
              <w:t xml:space="preserve">  Property Tax</w:t>
              <w:br/>
              <w:t xml:space="preserve">  Pay online, get receipt</w:t>
            </w:r>
          </w:p>
        </w:tc>
        <w:tc>
          <w:tcPr>
            <w:tcW w:type="dxa" w:w="2466"/>
            <w:shd w:val="clear" w:color="auto" w:fill="2E74B5"/>
            <w:vAlign w:val="center"/>
          </w:tcPr>
          <w:p>
            <w:pPr>
              <w:spacing w:before="120" w:after="120"/>
              <w:jc w:val="center"/>
            </w:pPr>
            <w:r>
              <w:rPr>
                <w:b/>
                <w:color w:val="FFFFFF"/>
                <w:sz w:val="19"/>
              </w:rPr>
              <w:t xml:space="preserve">  Trade License</w:t>
              <w:br/>
              <w:t xml:space="preserve">  Apply &amp; renew</w:t>
            </w:r>
          </w:p>
        </w:tc>
        <w:tc>
          <w:tcPr>
            <w:tcW w:type="dxa" w:w="2466"/>
            <w:shd w:val="clear" w:color="auto" w:fill="007987"/>
            <w:vAlign w:val="center"/>
          </w:tcPr>
          <w:p>
            <w:pPr>
              <w:spacing w:before="120" w:after="120"/>
              <w:jc w:val="center"/>
            </w:pPr>
            <w:r>
              <w:rPr>
                <w:b/>
                <w:color w:val="FFFFFF"/>
                <w:sz w:val="19"/>
              </w:rPr>
              <w:t xml:space="preserve">  Water/Sewerage</w:t>
              <w:br/>
              <w:t xml:space="preserve">  Connection &amp; bills</w:t>
            </w:r>
          </w:p>
        </w:tc>
        <w:tc>
          <w:tcPr>
            <w:tcW w:type="dxa" w:w="2466"/>
            <w:shd w:val="clear" w:color="auto" w:fill="ED7D31"/>
            <w:vAlign w:val="center"/>
          </w:tcPr>
          <w:p>
            <w:pPr>
              <w:spacing w:before="120" w:after="120"/>
              <w:jc w:val="center"/>
            </w:pPr>
            <w:r>
              <w:rPr>
                <w:b/>
                <w:color w:val="FFFFFF"/>
                <w:sz w:val="19"/>
              </w:rPr>
              <w:t xml:space="preserve">  Grievances (PGR)</w:t>
              <w:br/>
              <w:t xml:space="preserve">  File &amp; track</w:t>
            </w:r>
          </w:p>
        </w:tc>
      </w:tr>
    </w:tbl>
    <w:p>
      <w:pPr>
        <w:spacing w:before="0" w:after="0"/>
      </w:pPr>
    </w:p>
    <w:p>
      <w:pPr>
        <w:spacing w:before="0" w:after="60"/>
      </w:pP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550"/>
        <w:gridCol w:w="2550"/>
        <w:gridCol w:w="2550"/>
        <w:gridCol w:w="2550"/>
      </w:tblGrid>
      <w:tr>
        <w:tc>
          <w:tcPr>
            <w:tcW w:type="dxa" w:w="2466"/>
            <w:shd w:val="clear" w:color="auto" w:fill="005060"/>
            <w:vAlign w:val="center"/>
          </w:tcPr>
          <w:p>
            <w:pPr>
              <w:spacing w:before="120" w:after="120"/>
              <w:jc w:val="center"/>
            </w:pPr>
            <w:r>
              <w:rPr>
                <w:b/>
                <w:color w:val="FFFFFF"/>
                <w:sz w:val="19"/>
              </w:rPr>
              <w:t xml:space="preserve">  Building Plan</w:t>
              <w:br/>
              <w:t xml:space="preserve">  Online approval (BPA)</w:t>
            </w:r>
          </w:p>
        </w:tc>
        <w:tc>
          <w:tcPr>
            <w:tcW w:type="dxa" w:w="2466"/>
            <w:shd w:val="clear" w:color="auto" w:fill="1F3564"/>
            <w:vAlign w:val="center"/>
          </w:tcPr>
          <w:p>
            <w:pPr>
              <w:spacing w:before="120" w:after="120"/>
              <w:jc w:val="center"/>
            </w:pPr>
            <w:r>
              <w:rPr>
                <w:b/>
                <w:color w:val="FFFFFF"/>
                <w:sz w:val="19"/>
              </w:rPr>
              <w:t xml:space="preserve">  Payments</w:t>
              <w:br/>
              <w:t xml:space="preserve">  PayU gateway</w:t>
            </w:r>
          </w:p>
        </w:tc>
        <w:tc>
          <w:tcPr>
            <w:tcW w:type="dxa" w:w="2466"/>
            <w:shd w:val="clear" w:color="auto" w:fill="7030A0"/>
            <w:vAlign w:val="center"/>
          </w:tcPr>
          <w:p>
            <w:pPr>
              <w:spacing w:before="120" w:after="120"/>
              <w:jc w:val="center"/>
            </w:pPr>
            <w:r>
              <w:rPr>
                <w:b/>
                <w:color w:val="FFFFFF"/>
                <w:sz w:val="19"/>
              </w:rPr>
              <w:t xml:space="preserve">  WhatsApp Bot</w:t>
              <w:br/>
              <w:t xml:space="preserve">  Citizen services</w:t>
            </w:r>
          </w:p>
        </w:tc>
        <w:tc>
          <w:tcPr>
            <w:tcW w:type="dxa" w:w="2466"/>
            <w:shd w:val="clear" w:color="auto" w:fill="404040"/>
            <w:vAlign w:val="center"/>
          </w:tcPr>
          <w:p>
            <w:pPr>
              <w:spacing w:before="120" w:after="120"/>
              <w:jc w:val="center"/>
            </w:pPr>
            <w:r>
              <w:rPr>
                <w:b/>
                <w:color w:val="FFFFFF"/>
                <w:sz w:val="19"/>
              </w:rPr>
              <w:t xml:space="preserve">  DSS Dashboard</w:t>
              <w:br/>
              <w:t xml:space="preserve">  Live analytics</w:t>
            </w:r>
          </w:p>
        </w:tc>
      </w:tr>
    </w:tbl>
    <w:p>
      <w:pPr>
        <w:spacing w:before="0" w:after="0"/>
      </w:pPr>
    </w:p>
    <w:p>
      <w:pPr>
        <w:spacing w:before="0" w:after="16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1F3564"/>
          </w:tcPr>
          <w:p>
            <w:pPr>
              <w:spacing w:before="120" w:after="120"/>
            </w:pPr>
            <w:r>
              <w:rPr>
                <w:b/>
                <w:color w:val="FFFFFF"/>
                <w:sz w:val="26"/>
              </w:rPr>
              <w:t xml:space="preserve">  2.  SDC Infrastructure Model — How the Platform is Hosted</w:t>
            </w:r>
          </w:p>
        </w:tc>
      </w:tr>
    </w:tbl>
    <w:p>
      <w:pPr>
        <w:spacing w:before="0" w:after="100"/>
      </w:pPr>
    </w:p>
    <w:p>
      <w:pPr>
        <w:spacing w:after="160" w:before="0"/>
        <w:jc w:val="left"/>
      </w:pPr>
      <w:r>
        <w:rPr>
          <w:b w:val="0"/>
          <w:i w:val="0"/>
          <w:sz w:val="21"/>
        </w:rPr>
        <w:t>Unlike cloud platforms (AWS/Azure), the entire mSeva stack runs on physical/virtual machines provisioned by NIC at Punjab's State Data Centre. There is no auto-scaling or managed database — everything runs on pre-allocated VMs running Kubernetes.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1F3564"/>
            <w:vAlign w:val="center"/>
          </w:tcPr>
          <w:p>
            <w:pPr>
              <w:spacing w:before="180" w:after="180"/>
              <w:jc w:val="center"/>
            </w:pPr>
            <w:r>
              <w:rPr>
                <w:b/>
                <w:color w:val="FFFFFF"/>
                <w:sz w:val="26"/>
              </w:rPr>
              <w:t>STATE DATA CENTRE (SDC) — Punjab, NIC / OpenStack Virtual Machines</w:t>
            </w:r>
            <w:r>
              <w:rPr>
                <w:b w:val="0"/>
                <w:i/>
                <w:color w:val="FFFFFF"/>
                <w:sz w:val="21"/>
              </w:rPr>
              <w:br/>
              <w:t>On-premise Kubernetes cluster  |  pmidcio/ container registry  |  Self-managed services</w:t>
            </w:r>
          </w:p>
        </w:tc>
      </w:tr>
    </w:tbl>
    <w:p>
      <w:pPr>
        <w:spacing w:before="0" w:after="0"/>
      </w:pPr>
    </w:p>
    <w:p>
      <w:pPr>
        <w:spacing w:before="0" w:after="0"/>
        <w:jc w:val="center"/>
      </w:pPr>
      <w:r>
        <w:rPr>
          <w:color w:val="808080"/>
          <w:sz w:val="22"/>
        </w:rPr>
        <w:t>▼</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400"/>
        <w:gridCol w:w="3400"/>
        <w:gridCol w:w="3400"/>
      </w:tblGrid>
      <w:tr>
        <w:tc>
          <w:tcPr>
            <w:tcW w:type="dxa" w:w="3288"/>
            <w:shd w:val="clear" w:color="auto" w:fill="2E74B5"/>
            <w:vAlign w:val="center"/>
          </w:tcPr>
          <w:p>
            <w:pPr>
              <w:spacing w:before="120" w:after="120"/>
              <w:jc w:val="center"/>
            </w:pPr>
            <w:r>
              <w:rPr>
                <w:b/>
                <w:color w:val="FFFFFF"/>
                <w:sz w:val="19"/>
              </w:rPr>
              <w:t>KUBERNETES CLUSTER</w:t>
              <w:br/>
              <w:t>(Self-hosted, kubeadm)</w:t>
              <w:br/>
              <w:t>All microservices run here</w:t>
              <w:br/>
              <w:t>as Docker containers</w:t>
            </w:r>
          </w:p>
        </w:tc>
        <w:tc>
          <w:tcPr>
            <w:tcW w:type="dxa" w:w="3288"/>
            <w:shd w:val="clear" w:color="auto" w:fill="007987"/>
            <w:vAlign w:val="center"/>
          </w:tcPr>
          <w:p>
            <w:pPr>
              <w:spacing w:before="120" w:after="120"/>
              <w:jc w:val="center"/>
            </w:pPr>
            <w:r>
              <w:rPr>
                <w:b/>
                <w:color w:val="FFFFFF"/>
                <w:sz w:val="19"/>
              </w:rPr>
              <w:t>POSTGRESQL DATABASE</w:t>
              <w:br/>
              <w:t>(Self-managed on SDC VMs)</w:t>
              <w:br/>
              <w:t>Prod: 10.44.242.67:5432</w:t>
              <w:br/>
              <w:t>UAT/Dev: 10.44.237.25:5432</w:t>
            </w:r>
          </w:p>
        </w:tc>
        <w:tc>
          <w:tcPr>
            <w:tcW w:type="dxa" w:w="3288"/>
            <w:shd w:val="clear" w:color="auto" w:fill="005060"/>
            <w:vAlign w:val="center"/>
          </w:tcPr>
          <w:p>
            <w:pPr>
              <w:spacing w:before="120" w:after="120"/>
              <w:jc w:val="center"/>
            </w:pPr>
            <w:r>
              <w:rPr>
                <w:b/>
                <w:color w:val="FFFFFF"/>
                <w:sz w:val="19"/>
              </w:rPr>
              <w:t>MINIO OBJECT STORE</w:t>
              <w:br/>
              <w:t>(Replaces AWS S3)</w:t>
              <w:br/>
              <w:t>All citizen documents</w:t>
              <w:br/>
              <w:t>10.44.237.28:9000</w:t>
            </w:r>
          </w:p>
        </w:tc>
      </w:tr>
    </w:tbl>
    <w:p>
      <w:pPr>
        <w:spacing w:before="0" w:after="0"/>
      </w:pPr>
    </w:p>
    <w:p>
      <w:pPr>
        <w:spacing w:before="0" w:after="60"/>
      </w:pP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400"/>
        <w:gridCol w:w="3400"/>
        <w:gridCol w:w="3400"/>
      </w:tblGrid>
      <w:tr>
        <w:tc>
          <w:tcPr>
            <w:tcW w:type="dxa" w:w="3288"/>
            <w:shd w:val="clear" w:color="auto" w:fill="1F3564"/>
            <w:vAlign w:val="center"/>
          </w:tcPr>
          <w:p>
            <w:pPr>
              <w:spacing w:before="120" w:after="120"/>
              <w:jc w:val="center"/>
            </w:pPr>
            <w:r>
              <w:rPr>
                <w:b/>
                <w:color w:val="FFFFFF"/>
                <w:sz w:val="19"/>
              </w:rPr>
              <w:t>KAFKA EVENT BUS</w:t>
              <w:br/>
              <w:t>Prod/Dev: Zookeeper-mode</w:t>
              <w:br/>
              <w:t>UAT: KRaft mode (no ZK)</w:t>
              <w:br/>
              <w:t>release-name-kafka.backbone:9092</w:t>
            </w:r>
          </w:p>
        </w:tc>
        <w:tc>
          <w:tcPr>
            <w:tcW w:type="dxa" w:w="3288"/>
            <w:shd w:val="clear" w:color="auto" w:fill="404040"/>
            <w:vAlign w:val="center"/>
          </w:tcPr>
          <w:p>
            <w:pPr>
              <w:spacing w:before="120" w:after="120"/>
              <w:jc w:val="center"/>
            </w:pPr>
            <w:r>
              <w:rPr>
                <w:b/>
                <w:color w:val="FFFFFF"/>
                <w:sz w:val="19"/>
              </w:rPr>
              <w:t>ELASTICSEARCH</w:t>
              <w:br/>
              <w:t>Prod: NodePort 10.44.237.231:30920</w:t>
              <w:br/>
              <w:t>UAT/Dev: K8s DNS :9200</w:t>
              <w:br/>
              <w:t>2 clusters (biz + infra)</w:t>
            </w:r>
          </w:p>
        </w:tc>
        <w:tc>
          <w:tcPr>
            <w:tcW w:type="dxa" w:w="3288"/>
            <w:shd w:val="clear" w:color="auto" w:fill="ED7D31"/>
            <w:vAlign w:val="center"/>
          </w:tcPr>
          <w:p>
            <w:pPr>
              <w:spacing w:before="120" w:after="120"/>
              <w:jc w:val="center"/>
            </w:pPr>
            <w:r>
              <w:rPr>
                <w:b/>
                <w:color w:val="FFFFFF"/>
                <w:sz w:val="19"/>
              </w:rPr>
              <w:t>PRIVATE REGISTRY</w:t>
              <w:br/>
              <w:t>pmidcio/ (PMIDC owned)</w:t>
              <w:br/>
              <w:t>All Docker images pulled</w:t>
              <w:br/>
              <w:t>from internal registry</w:t>
            </w:r>
          </w:p>
        </w:tc>
      </w:tr>
    </w:tbl>
    <w:p>
      <w:pPr>
        <w:spacing w:before="0" w:after="0"/>
      </w:pPr>
    </w:p>
    <w:p>
      <w:pPr>
        <w:spacing w:before="0" w:after="1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2268"/>
            <w:shd w:val="clear" w:color="auto" w:fill="1F3564"/>
          </w:tcPr>
          <w:p>
            <w:pPr>
              <w:spacing w:before="60" w:after="60"/>
            </w:pPr>
            <w:r>
              <w:rPr>
                <w:b/>
                <w:color w:val="FFFFFF"/>
                <w:sz w:val="19"/>
              </w:rPr>
              <w:t>Aspect</w:t>
            </w:r>
          </w:p>
        </w:tc>
        <w:tc>
          <w:tcPr>
            <w:tcW w:type="dxa" w:w="3685"/>
            <w:shd w:val="clear" w:color="auto" w:fill="1F3564"/>
          </w:tcPr>
          <w:p>
            <w:pPr>
              <w:spacing w:before="60" w:after="60"/>
            </w:pPr>
            <w:r>
              <w:rPr>
                <w:b/>
                <w:color w:val="FFFFFF"/>
                <w:sz w:val="19"/>
              </w:rPr>
              <w:t>SDC Configuration</w:t>
            </w:r>
          </w:p>
        </w:tc>
        <w:tc>
          <w:tcPr>
            <w:tcW w:type="dxa" w:w="3912"/>
            <w:shd w:val="clear" w:color="auto" w:fill="1F3564"/>
          </w:tcPr>
          <w:p>
            <w:pPr>
              <w:spacing w:before="60" w:after="60"/>
            </w:pPr>
            <w:r>
              <w:rPr>
                <w:b/>
                <w:color w:val="FFFFFF"/>
                <w:sz w:val="19"/>
              </w:rPr>
              <w:t>Why It Matters</w:t>
            </w:r>
          </w:p>
        </w:tc>
      </w:tr>
      <w:tr>
        <w:tc>
          <w:tcPr>
            <w:tcW w:type="dxa" w:w="2268"/>
            <w:shd w:val="clear" w:color="auto" w:fill="F7F9FC"/>
          </w:tcPr>
          <w:p>
            <w:pPr>
              <w:spacing w:before="60" w:after="60"/>
            </w:pPr>
            <w:r>
              <w:rPr>
                <w:b/>
                <w:color w:val="1F3564"/>
                <w:sz w:val="18"/>
              </w:rPr>
              <w:t>VM provisioning</w:t>
            </w:r>
          </w:p>
        </w:tc>
        <w:tc>
          <w:tcPr>
            <w:tcW w:type="dxa" w:w="3685"/>
            <w:shd w:val="clear" w:color="auto" w:fill="F7F9FC"/>
          </w:tcPr>
          <w:p>
            <w:pPr>
              <w:spacing w:before="60" w:after="60"/>
            </w:pPr>
            <w:r>
              <w:rPr>
                <w:b w:val="0"/>
                <w:sz w:val="18"/>
              </w:rPr>
              <w:t>Manual — NIC/OpenStack request</w:t>
            </w:r>
          </w:p>
        </w:tc>
        <w:tc>
          <w:tcPr>
            <w:tcW w:type="dxa" w:w="3912"/>
            <w:shd w:val="clear" w:color="auto" w:fill="F7F9FC"/>
          </w:tcPr>
          <w:p>
            <w:pPr>
              <w:spacing w:before="60" w:after="60"/>
            </w:pPr>
            <w:r>
              <w:rPr>
                <w:b w:val="0"/>
                <w:sz w:val="18"/>
              </w:rPr>
              <w:t>No Terraform; changes need NIC team coordination</w:t>
            </w:r>
          </w:p>
        </w:tc>
      </w:tr>
      <w:tr>
        <w:tc>
          <w:tcPr>
            <w:tcW w:type="dxa" w:w="2268"/>
            <w:shd w:val="clear" w:color="auto" w:fill="FFFFFF"/>
          </w:tcPr>
          <w:p>
            <w:pPr>
              <w:spacing w:before="60" w:after="60"/>
            </w:pPr>
            <w:r>
              <w:rPr>
                <w:b/>
                <w:color w:val="1F3564"/>
                <w:sz w:val="18"/>
              </w:rPr>
              <w:t>Container registry</w:t>
            </w:r>
          </w:p>
        </w:tc>
        <w:tc>
          <w:tcPr>
            <w:tcW w:type="dxa" w:w="3685"/>
            <w:shd w:val="clear" w:color="auto" w:fill="FFFFFF"/>
          </w:tcPr>
          <w:p>
            <w:pPr>
              <w:spacing w:before="60" w:after="60"/>
            </w:pPr>
            <w:r>
              <w:rPr>
                <w:b w:val="0"/>
                <w:sz w:val="18"/>
              </w:rPr>
              <w:t>pmidcio/ (private PMIDC registry)</w:t>
            </w:r>
          </w:p>
        </w:tc>
        <w:tc>
          <w:tcPr>
            <w:tcW w:type="dxa" w:w="3912"/>
            <w:shd w:val="clear" w:color="auto" w:fill="FFFFFF"/>
          </w:tcPr>
          <w:p>
            <w:pPr>
              <w:spacing w:before="60" w:after="60"/>
            </w:pPr>
            <w:r>
              <w:rPr>
                <w:b w:val="0"/>
                <w:sz w:val="18"/>
              </w:rPr>
              <w:t>Images must be pushed to pmidcio/ not public Docker Hub</w:t>
            </w:r>
          </w:p>
        </w:tc>
      </w:tr>
      <w:tr>
        <w:tc>
          <w:tcPr>
            <w:tcW w:type="dxa" w:w="2268"/>
            <w:shd w:val="clear" w:color="auto" w:fill="F7F9FC"/>
          </w:tcPr>
          <w:p>
            <w:pPr>
              <w:spacing w:before="60" w:after="60"/>
            </w:pPr>
            <w:r>
              <w:rPr>
                <w:b/>
                <w:color w:val="1F3564"/>
                <w:sz w:val="18"/>
              </w:rPr>
              <w:t>Object storage</w:t>
            </w:r>
          </w:p>
        </w:tc>
        <w:tc>
          <w:tcPr>
            <w:tcW w:type="dxa" w:w="3685"/>
            <w:shd w:val="clear" w:color="auto" w:fill="F7F9FC"/>
          </w:tcPr>
          <w:p>
            <w:pPr>
              <w:spacing w:before="60" w:after="60"/>
            </w:pPr>
            <w:r>
              <w:rPr>
                <w:b w:val="0"/>
                <w:sz w:val="18"/>
              </w:rPr>
              <w:t>Minio at 10.44.237.28:9000</w:t>
            </w:r>
          </w:p>
        </w:tc>
        <w:tc>
          <w:tcPr>
            <w:tcW w:type="dxa" w:w="3912"/>
            <w:shd w:val="clear" w:color="auto" w:fill="F7F9FC"/>
          </w:tcPr>
          <w:p>
            <w:pPr>
              <w:spacing w:before="60" w:after="60"/>
            </w:pPr>
            <w:r>
              <w:rPr>
                <w:b w:val="0"/>
                <w:sz w:val="18"/>
              </w:rPr>
              <w:t>Replaces AWS S3; single node — no replication currently</w:t>
            </w:r>
          </w:p>
        </w:tc>
      </w:tr>
      <w:tr>
        <w:tc>
          <w:tcPr>
            <w:tcW w:type="dxa" w:w="2268"/>
            <w:shd w:val="clear" w:color="auto" w:fill="FFFFFF"/>
          </w:tcPr>
          <w:p>
            <w:pPr>
              <w:spacing w:before="60" w:after="60"/>
            </w:pPr>
            <w:r>
              <w:rPr>
                <w:b/>
                <w:color w:val="1F3564"/>
                <w:sz w:val="18"/>
              </w:rPr>
              <w:t>Database</w:t>
            </w:r>
          </w:p>
        </w:tc>
        <w:tc>
          <w:tcPr>
            <w:tcW w:type="dxa" w:w="3685"/>
            <w:shd w:val="clear" w:color="auto" w:fill="FFFFFF"/>
          </w:tcPr>
          <w:p>
            <w:pPr>
              <w:spacing w:before="60" w:after="60"/>
            </w:pPr>
            <w:r>
              <w:rPr>
                <w:b w:val="0"/>
                <w:sz w:val="18"/>
              </w:rPr>
              <w:t>Self-managed PostgreSQL on SDC VMs</w:t>
            </w:r>
          </w:p>
        </w:tc>
        <w:tc>
          <w:tcPr>
            <w:tcW w:type="dxa" w:w="3912"/>
            <w:shd w:val="clear" w:color="auto" w:fill="FFFFFF"/>
          </w:tcPr>
          <w:p>
            <w:pPr>
              <w:spacing w:before="60" w:after="60"/>
            </w:pPr>
            <w:r>
              <w:rPr>
                <w:b w:val="0"/>
                <w:sz w:val="18"/>
              </w:rPr>
              <w:t>No managed backups; manual DBA intervention required</w:t>
            </w:r>
          </w:p>
        </w:tc>
      </w:tr>
      <w:tr>
        <w:tc>
          <w:tcPr>
            <w:tcW w:type="dxa" w:w="2268"/>
            <w:shd w:val="clear" w:color="auto" w:fill="F7F9FC"/>
          </w:tcPr>
          <w:p>
            <w:pPr>
              <w:spacing w:before="60" w:after="60"/>
            </w:pPr>
            <w:r>
              <w:rPr>
                <w:b/>
                <w:color w:val="1F3564"/>
                <w:sz w:val="18"/>
              </w:rPr>
              <w:t>Auto-scaling</w:t>
            </w:r>
          </w:p>
        </w:tc>
        <w:tc>
          <w:tcPr>
            <w:tcW w:type="dxa" w:w="3685"/>
            <w:shd w:val="clear" w:color="auto" w:fill="F7F9FC"/>
          </w:tcPr>
          <w:p>
            <w:pPr>
              <w:spacing w:before="60" w:after="60"/>
            </w:pPr>
            <w:r>
              <w:rPr>
                <w:b w:val="0"/>
                <w:sz w:val="18"/>
              </w:rPr>
              <w:t>None — fixed VM count</w:t>
            </w:r>
          </w:p>
        </w:tc>
        <w:tc>
          <w:tcPr>
            <w:tcW w:type="dxa" w:w="3912"/>
            <w:shd w:val="clear" w:color="auto" w:fill="F7F9FC"/>
          </w:tcPr>
          <w:p>
            <w:pPr>
              <w:spacing w:before="60" w:after="60"/>
            </w:pPr>
            <w:r>
              <w:rPr>
                <w:b w:val="0"/>
                <w:sz w:val="18"/>
              </w:rPr>
              <w:t>Capacity must be planned ahead; no burst protection</w:t>
            </w:r>
          </w:p>
        </w:tc>
      </w:tr>
      <w:tr>
        <w:tc>
          <w:tcPr>
            <w:tcW w:type="dxa" w:w="2268"/>
            <w:shd w:val="clear" w:color="auto" w:fill="FFFFFF"/>
          </w:tcPr>
          <w:p>
            <w:pPr>
              <w:spacing w:before="60" w:after="60"/>
            </w:pPr>
            <w:r>
              <w:rPr>
                <w:b/>
                <w:color w:val="1F3564"/>
                <w:sz w:val="18"/>
              </w:rPr>
              <w:t>Secret management</w:t>
            </w:r>
          </w:p>
        </w:tc>
        <w:tc>
          <w:tcPr>
            <w:tcW w:type="dxa" w:w="3685"/>
            <w:shd w:val="clear" w:color="auto" w:fill="FFFFFF"/>
          </w:tcPr>
          <w:p>
            <w:pPr>
              <w:spacing w:before="60" w:after="60"/>
            </w:pPr>
            <w:r>
              <w:rPr>
                <w:b w:val="0"/>
                <w:sz w:val="18"/>
              </w:rPr>
              <w:t>Mozilla SOPS encryption in Git</w:t>
            </w:r>
          </w:p>
        </w:tc>
        <w:tc>
          <w:tcPr>
            <w:tcW w:type="dxa" w:w="3912"/>
            <w:shd w:val="clear" w:color="auto" w:fill="FFFFFF"/>
          </w:tcPr>
          <w:p>
            <w:pPr>
              <w:spacing w:before="60" w:after="60"/>
            </w:pPr>
            <w:r>
              <w:rPr>
                <w:b w:val="0"/>
                <w:sz w:val="18"/>
              </w:rPr>
              <w:t>Secrets encrypted at rest; require key access to decrypt</w:t>
            </w:r>
          </w:p>
        </w:tc>
      </w:tr>
      <w:tr>
        <w:tc>
          <w:tcPr>
            <w:tcW w:type="dxa" w:w="2268"/>
            <w:shd w:val="clear" w:color="auto" w:fill="F7F9FC"/>
          </w:tcPr>
          <w:p>
            <w:pPr>
              <w:spacing w:before="60" w:after="60"/>
            </w:pPr>
            <w:r>
              <w:rPr>
                <w:b/>
                <w:color w:val="1F3564"/>
                <w:sz w:val="18"/>
              </w:rPr>
              <w:t>gitSync config branch</w:t>
            </w:r>
          </w:p>
        </w:tc>
        <w:tc>
          <w:tcPr>
            <w:tcW w:type="dxa" w:w="3685"/>
            <w:shd w:val="clear" w:color="auto" w:fill="F7F9FC"/>
          </w:tcPr>
          <w:p>
            <w:pPr>
              <w:spacing w:before="60" w:after="60"/>
            </w:pPr>
            <w:r>
              <w:rPr>
                <w:b w:val="0"/>
                <w:sz w:val="18"/>
              </w:rPr>
              <w:t>PROD_V2 (not master)</w:t>
            </w:r>
          </w:p>
        </w:tc>
        <w:tc>
          <w:tcPr>
            <w:tcW w:type="dxa" w:w="3912"/>
            <w:shd w:val="clear" w:color="auto" w:fill="F7F9FC"/>
          </w:tcPr>
          <w:p>
            <w:pPr>
              <w:spacing w:before="60" w:after="60"/>
            </w:pPr>
            <w:r>
              <w:rPr>
                <w:b w:val="0"/>
                <w:sz w:val="18"/>
              </w:rPr>
              <w:t>All config repos cloned from PROD_V2 branch at pod startup</w:t>
            </w:r>
          </w:p>
        </w:tc>
      </w:tr>
      <w:tr>
        <w:tc>
          <w:tcPr>
            <w:tcW w:type="dxa" w:w="2268"/>
            <w:shd w:val="clear" w:color="auto" w:fill="FFFFFF"/>
          </w:tcPr>
          <w:p>
            <w:pPr>
              <w:spacing w:before="60" w:after="60"/>
            </w:pPr>
            <w:r>
              <w:rPr>
                <w:b/>
                <w:color w:val="1F3564"/>
                <w:sz w:val="18"/>
              </w:rPr>
              <w:t>TLS certificates</w:t>
            </w:r>
          </w:p>
        </w:tc>
        <w:tc>
          <w:tcPr>
            <w:tcW w:type="dxa" w:w="3685"/>
            <w:shd w:val="clear" w:color="auto" w:fill="FFFFFF"/>
          </w:tcPr>
          <w:p>
            <w:pPr>
              <w:spacing w:before="60" w:after="60"/>
            </w:pPr>
            <w:r>
              <w:rPr>
                <w:b w:val="0"/>
                <w:sz w:val="18"/>
              </w:rPr>
              <w:t>Let's Encrypt via cert-manager</w:t>
            </w:r>
          </w:p>
        </w:tc>
        <w:tc>
          <w:tcPr>
            <w:tcW w:type="dxa" w:w="3912"/>
            <w:shd w:val="clear" w:color="auto" w:fill="FFFFFF"/>
          </w:tcPr>
          <w:p>
            <w:pPr>
              <w:spacing w:before="60" w:after="60"/>
            </w:pPr>
            <w:r>
              <w:rPr>
                <w:b w:val="0"/>
                <w:sz w:val="18"/>
              </w:rPr>
              <w:t>Auto-renewed; ensure port 80 reachable for ACME challenge</w:t>
            </w:r>
          </w:p>
        </w:tc>
      </w:tr>
      <w:tr>
        <w:tc>
          <w:tcPr>
            <w:tcW w:type="dxa" w:w="2268"/>
            <w:shd w:val="clear" w:color="auto" w:fill="F7F9FC"/>
          </w:tcPr>
          <w:p>
            <w:pPr>
              <w:spacing w:before="60" w:after="60"/>
            </w:pPr>
            <w:r>
              <w:rPr>
                <w:b/>
                <w:color w:val="1F3564"/>
                <w:sz w:val="18"/>
              </w:rPr>
              <w:t>SMS gateway (Prod)</w:t>
            </w:r>
          </w:p>
        </w:tc>
        <w:tc>
          <w:tcPr>
            <w:tcW w:type="dxa" w:w="3685"/>
            <w:shd w:val="clear" w:color="auto" w:fill="F7F9FC"/>
          </w:tcPr>
          <w:p>
            <w:pPr>
              <w:spacing w:before="60" w:after="60"/>
            </w:pPr>
            <w:r>
              <w:rPr>
                <w:b w:val="0"/>
                <w:sz w:val="18"/>
              </w:rPr>
              <w:t>smsgw.sms.gov.in, Sender: PBGOVT</w:t>
            </w:r>
          </w:p>
        </w:tc>
        <w:tc>
          <w:tcPr>
            <w:tcW w:type="dxa" w:w="3912"/>
            <w:shd w:val="clear" w:color="auto" w:fill="F7F9FC"/>
          </w:tcPr>
          <w:p>
            <w:pPr>
              <w:spacing w:before="60" w:after="60"/>
            </w:pPr>
            <w:r>
              <w:rPr>
                <w:b w:val="0"/>
                <w:sz w:val="18"/>
              </w:rPr>
              <w:t>Requires JVM truststore with GOI PKI cert mounted as Secret</w:t>
            </w:r>
          </w:p>
        </w:tc>
      </w:tr>
    </w:tbl>
    <w:p>
      <w:pPr>
        <w:spacing w:before="0" w:after="12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1F3564"/>
          </w:tcPr>
          <w:p>
            <w:pPr>
              <w:spacing w:before="120" w:after="120"/>
            </w:pPr>
            <w:r>
              <w:rPr>
                <w:b/>
                <w:color w:val="FFFFFF"/>
                <w:sz w:val="26"/>
              </w:rPr>
              <w:t xml:space="preserve">  3.  How a Citizen Request Travels Through the SDC System</w:t>
            </w:r>
          </w:p>
        </w:tc>
      </w:tr>
    </w:tbl>
    <w:p>
      <w:pPr>
        <w:spacing w:before="0" w:after="100"/>
      </w:pPr>
    </w:p>
    <w:p>
      <w:pPr>
        <w:spacing w:after="160" w:before="0"/>
        <w:jc w:val="left"/>
      </w:pPr>
      <w:r>
        <w:rPr>
          <w:b w:val="0"/>
          <w:i w:val="0"/>
          <w:sz w:val="21"/>
        </w:rPr>
        <w:t>Every citizen action — paying a bill, filing a complaint, applying for a license — passes through these layers in sequence inside the SDC Kubernetes cluster.</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009BD9"/>
            <w:vAlign w:val="center"/>
          </w:tcPr>
          <w:p>
            <w:pPr>
              <w:spacing w:before="160" w:after="160"/>
              <w:jc w:val="center"/>
            </w:pPr>
            <w:r>
              <w:rPr>
                <w:b/>
                <w:color w:val="FFFFFF"/>
                <w:sz w:val="24"/>
              </w:rPr>
              <w:t>CITIZEN   —   Web Browser  /  Mobile App  /  WhatsApp</w:t>
            </w:r>
            <w:r>
              <w:rPr>
                <w:b w:val="0"/>
                <w:i/>
                <w:color w:val="FFFFFF"/>
                <w:sz w:val="19"/>
              </w:rPr>
              <w:br/>
              <w:t>mseva.lgpunjab.gov.in  |  sdc-uat.lgpunjab.gov.in  |  mseva-dev.lgpunjab.gov.in</w:t>
            </w:r>
          </w:p>
        </w:tc>
      </w:tr>
    </w:tbl>
    <w:p>
      <w:pPr>
        <w:spacing w:before="0" w:after="0"/>
      </w:pPr>
    </w:p>
    <w:p>
      <w:pPr>
        <w:spacing w:before="0" w:after="0"/>
        <w:jc w:val="center"/>
      </w:pPr>
      <w:r>
        <w:rPr>
          <w:color w:val="808080"/>
          <w:sz w:val="22"/>
        </w:rPr>
        <w: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C00000"/>
            <w:vAlign w:val="center"/>
          </w:tcPr>
          <w:p>
            <w:pPr>
              <w:spacing w:before="140" w:after="140"/>
              <w:jc w:val="center"/>
            </w:pPr>
            <w:r>
              <w:rPr>
                <w:b/>
                <w:color w:val="FFFFFF"/>
                <w:sz w:val="22"/>
              </w:rPr>
              <w:t>LAYER 1: SECURITY  —  WAF (Web Application Firewall)  +  TLS 1.3 Encryption</w:t>
            </w:r>
            <w:r>
              <w:rPr>
                <w:b w:val="0"/>
                <w:i/>
                <w:color w:val="FFFFFF"/>
                <w:sz w:val="17"/>
              </w:rPr>
              <w:br/>
              <w:t>Blocks SQL injection, XSS, malicious bots (lua-resty-waf, ACTIVE mode).  All traffic encrypted. TLS 1.0/1.1 disabled.</w:t>
            </w:r>
          </w:p>
        </w:tc>
      </w:tr>
    </w:tbl>
    <w:p>
      <w:pPr>
        <w:spacing w:before="0" w:after="0"/>
      </w:pPr>
    </w:p>
    <w:p>
      <w:pPr>
        <w:spacing w:before="0" w:after="0"/>
        <w:jc w:val="center"/>
      </w:pPr>
      <w:r>
        <w:rPr>
          <w:color w:val="808080"/>
          <w:sz w:val="22"/>
        </w:rPr>
        <w: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1F3564"/>
            <w:vAlign w:val="center"/>
          </w:tcPr>
          <w:p>
            <w:pPr>
              <w:spacing w:before="120" w:after="120"/>
              <w:jc w:val="center"/>
            </w:pPr>
            <w:r>
              <w:rPr>
                <w:b/>
                <w:color w:val="FFFFFF"/>
                <w:sz w:val="22"/>
              </w:rPr>
              <w:t>LAYER 2: NGINX INGRESS CONTROLLER  —  Routes HTTPS traffic to correct internal service</w:t>
            </w:r>
            <w:r>
              <w:rPr>
                <w:b w:val="0"/>
                <w:i/>
                <w:color w:val="FFFFFF"/>
                <w:sz w:val="17"/>
              </w:rPr>
              <w:br/>
              <w:t>Terminates TLS.  Nginx passes plain HTTP to backend pods inside the cluster.</w:t>
            </w:r>
          </w:p>
        </w:tc>
      </w:tr>
    </w:tbl>
    <w:p>
      <w:pPr>
        <w:spacing w:before="0" w:after="0"/>
      </w:pPr>
    </w:p>
    <w:p>
      <w:pPr>
        <w:spacing w:before="0" w:after="0"/>
        <w:jc w:val="center"/>
      </w:pPr>
      <w:r>
        <w:rPr>
          <w:color w:val="808080"/>
          <w:sz w:val="22"/>
        </w:rPr>
        <w: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2E74B5"/>
            <w:vAlign w:val="center"/>
          </w:tcPr>
          <w:p>
            <w:pPr>
              <w:spacing w:before="120" w:after="120"/>
              <w:jc w:val="center"/>
            </w:pPr>
            <w:r>
              <w:rPr>
                <w:b/>
                <w:color w:val="FFFFFF"/>
                <w:sz w:val="22"/>
              </w:rPr>
              <w:t>LAYER 3: ZUUL API GATEWAY  (3 replicas)  —  Authentication  |  Rate Limiting  |  Service Routing</w:t>
            </w:r>
            <w:r>
              <w:rPr>
                <w:b w:val="0"/>
                <w:i/>
                <w:color w:val="FFFFFF"/>
                <w:sz w:val="17"/>
              </w:rPr>
              <w:br/>
              <w:t>Validates OAuth token on every request.  Unauthenticated requests are rejected here.</w:t>
            </w:r>
          </w:p>
        </w:tc>
      </w:tr>
    </w:tbl>
    <w:p>
      <w:pPr>
        <w:spacing w:before="0" w:after="0"/>
      </w:pPr>
    </w:p>
    <w:p>
      <w:pPr>
        <w:spacing w:before="0" w:after="0"/>
        <w:jc w:val="center"/>
      </w:pPr>
      <w:r>
        <w:rPr>
          <w:color w:val="808080"/>
          <w:sz w:val="22"/>
        </w:rPr>
        <w:t>▼</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040"/>
        <w:gridCol w:w="2040"/>
        <w:gridCol w:w="2040"/>
        <w:gridCol w:w="2040"/>
        <w:gridCol w:w="2040"/>
      </w:tblGrid>
      <w:tr>
        <w:tc>
          <w:tcPr>
            <w:tcW w:type="dxa" w:w="1973"/>
            <w:shd w:val="clear" w:color="auto" w:fill="2E74B5"/>
            <w:vAlign w:val="center"/>
          </w:tcPr>
          <w:p>
            <w:pPr>
              <w:spacing w:before="120" w:after="120"/>
              <w:jc w:val="center"/>
            </w:pPr>
            <w:r>
              <w:rPr>
                <w:b/>
                <w:color w:val="FFFFFF"/>
                <w:sz w:val="19"/>
              </w:rPr>
              <w:t>Property Tax</w:t>
              <w:br/>
              <w:t>pt-services-v2</w:t>
              <w:br/>
              <w:t>(4 replicas)</w:t>
            </w:r>
          </w:p>
        </w:tc>
        <w:tc>
          <w:tcPr>
            <w:tcW w:type="dxa" w:w="1973"/>
            <w:shd w:val="clear" w:color="auto" w:fill="2E74B5"/>
            <w:vAlign w:val="center"/>
          </w:tcPr>
          <w:p>
            <w:pPr>
              <w:spacing w:before="120" w:after="120"/>
              <w:jc w:val="center"/>
            </w:pPr>
            <w:r>
              <w:rPr>
                <w:b/>
                <w:color w:val="FFFFFF"/>
                <w:sz w:val="19"/>
              </w:rPr>
              <w:t>Trade License</w:t>
              <w:br/>
              <w:t>tl-services</w:t>
              <w:br/>
              <w:t>(2 replicas)</w:t>
            </w:r>
          </w:p>
        </w:tc>
        <w:tc>
          <w:tcPr>
            <w:tcW w:type="dxa" w:w="1973"/>
            <w:shd w:val="clear" w:color="auto" w:fill="007987"/>
            <w:vAlign w:val="center"/>
          </w:tcPr>
          <w:p>
            <w:pPr>
              <w:spacing w:before="120" w:after="120"/>
              <w:jc w:val="center"/>
            </w:pPr>
            <w:r>
              <w:rPr>
                <w:b/>
                <w:color w:val="FFFFFF"/>
                <w:sz w:val="19"/>
              </w:rPr>
              <w:t>Water/Sewerage</w:t>
              <w:br/>
              <w:t>ws-services / sw-svcs</w:t>
            </w:r>
          </w:p>
        </w:tc>
        <w:tc>
          <w:tcPr>
            <w:tcW w:type="dxa" w:w="1973"/>
            <w:shd w:val="clear" w:color="auto" w:fill="005060"/>
            <w:vAlign w:val="center"/>
          </w:tcPr>
          <w:p>
            <w:pPr>
              <w:spacing w:before="120" w:after="120"/>
              <w:jc w:val="center"/>
            </w:pPr>
            <w:r>
              <w:rPr>
                <w:b/>
                <w:color w:val="FFFFFF"/>
                <w:sz w:val="19"/>
              </w:rPr>
              <w:t>Building Plan</w:t>
              <w:br/>
              <w:t>bpa-services</w:t>
              <w:br/>
              <w:t>(OBPAS)</w:t>
            </w:r>
          </w:p>
        </w:tc>
        <w:tc>
          <w:tcPr>
            <w:tcW w:type="dxa" w:w="1973"/>
            <w:shd w:val="clear" w:color="auto" w:fill="ED7D31"/>
            <w:vAlign w:val="center"/>
          </w:tcPr>
          <w:p>
            <w:pPr>
              <w:spacing w:before="120" w:after="120"/>
              <w:jc w:val="center"/>
            </w:pPr>
            <w:r>
              <w:rPr>
                <w:b/>
                <w:color w:val="FFFFFF"/>
                <w:sz w:val="19"/>
              </w:rPr>
              <w:t>Billing Service</w:t>
              <w:br/>
              <w:t>billing-service</w:t>
              <w:br/>
              <w:t>(7 replicas)</w:t>
            </w:r>
          </w:p>
        </w:tc>
      </w:tr>
    </w:tbl>
    <w:p>
      <w:pPr>
        <w:spacing w:before="0" w:after="0"/>
      </w:pPr>
    </w:p>
    <w:p>
      <w:pPr>
        <w:spacing w:before="0" w:after="40"/>
      </w:pPr>
    </w:p>
    <w:p>
      <w:pPr>
        <w:spacing w:after="80" w:before="0"/>
        <w:jc w:val="left"/>
      </w:pPr>
      <w:r>
        <w:rPr>
          <w:b w:val="0"/>
          <w:i/>
          <w:color w:val="808080"/>
          <w:sz w:val="17"/>
        </w:rPr>
        <w:t xml:space="preserve">           ... and 40+ more microservices each handling a specific business domain</w:t>
      </w:r>
    </w:p>
    <w:p>
      <w:pPr>
        <w:spacing w:before="0" w:after="40"/>
      </w:pPr>
    </w:p>
    <w:p>
      <w:pPr>
        <w:spacing w:before="0" w:after="0"/>
        <w:jc w:val="center"/>
      </w:pPr>
      <w:r>
        <w:rPr>
          <w:color w:val="808080"/>
          <w:sz w:val="22"/>
        </w:rPr>
        <w:t>▼</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550"/>
        <w:gridCol w:w="2550"/>
        <w:gridCol w:w="2550"/>
        <w:gridCol w:w="2550"/>
      </w:tblGrid>
      <w:tr>
        <w:tc>
          <w:tcPr>
            <w:tcW w:type="dxa" w:w="2466"/>
            <w:shd w:val="clear" w:color="auto" w:fill="1F3564"/>
            <w:vAlign w:val="center"/>
          </w:tcPr>
          <w:p>
            <w:pPr>
              <w:spacing w:before="120" w:after="120"/>
              <w:jc w:val="center"/>
            </w:pPr>
            <w:r>
              <w:rPr>
                <w:b/>
                <w:color w:val="FFFFFF"/>
                <w:sz w:val="19"/>
              </w:rPr>
              <w:t>egov-persister</w:t>
              <w:br/>
              <w:t>Kafka → PostgreSQL</w:t>
            </w:r>
          </w:p>
        </w:tc>
        <w:tc>
          <w:tcPr>
            <w:tcW w:type="dxa" w:w="2466"/>
            <w:shd w:val="clear" w:color="auto" w:fill="1F3564"/>
            <w:vAlign w:val="center"/>
          </w:tcPr>
          <w:p>
            <w:pPr>
              <w:spacing w:before="120" w:after="120"/>
              <w:jc w:val="center"/>
            </w:pPr>
            <w:r>
              <w:rPr>
                <w:b/>
                <w:color w:val="FFFFFF"/>
                <w:sz w:val="19"/>
              </w:rPr>
              <w:t>egov-indexer</w:t>
              <w:br/>
              <w:t>Kafka → Elasticsearch</w:t>
            </w:r>
          </w:p>
        </w:tc>
        <w:tc>
          <w:tcPr>
            <w:tcW w:type="dxa" w:w="2466"/>
            <w:shd w:val="clear" w:color="auto" w:fill="1F3564"/>
            <w:vAlign w:val="center"/>
          </w:tcPr>
          <w:p>
            <w:pPr>
              <w:spacing w:before="120" w:after="120"/>
              <w:jc w:val="center"/>
            </w:pPr>
            <w:r>
              <w:rPr>
                <w:b/>
                <w:color w:val="FFFFFF"/>
                <w:sz w:val="19"/>
              </w:rPr>
              <w:t>egov-notification</w:t>
              <w:br/>
              <w:t>SMS / Email alerts</w:t>
            </w:r>
          </w:p>
        </w:tc>
        <w:tc>
          <w:tcPr>
            <w:tcW w:type="dxa" w:w="2466"/>
            <w:shd w:val="clear" w:color="auto" w:fill="1F3564"/>
            <w:vAlign w:val="center"/>
          </w:tcPr>
          <w:p>
            <w:pPr>
              <w:spacing w:before="120" w:after="120"/>
              <w:jc w:val="center"/>
            </w:pPr>
            <w:r>
              <w:rPr>
                <w:b/>
                <w:color w:val="FFFFFF"/>
                <w:sz w:val="19"/>
              </w:rPr>
              <w:t>egov-workflow-v2</w:t>
              <w:br/>
              <w:t>Workflow engine</w:t>
            </w:r>
          </w:p>
        </w:tc>
      </w:tr>
    </w:tbl>
    <w:p>
      <w:pPr>
        <w:spacing w:before="0" w:after="0"/>
      </w:pPr>
    </w:p>
    <w:p>
      <w:pPr>
        <w:spacing w:before="0" w:after="0"/>
        <w:jc w:val="center"/>
      </w:pPr>
      <w:r>
        <w:rPr>
          <w:color w:val="808080"/>
          <w:sz w:val="22"/>
        </w:rPr>
        <w:t>▼</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550"/>
        <w:gridCol w:w="2550"/>
        <w:gridCol w:w="2550"/>
        <w:gridCol w:w="2550"/>
      </w:tblGrid>
      <w:tr>
        <w:tc>
          <w:tcPr>
            <w:tcW w:type="dxa" w:w="2466"/>
            <w:shd w:val="clear" w:color="auto" w:fill="007987"/>
            <w:vAlign w:val="center"/>
          </w:tcPr>
          <w:p>
            <w:pPr>
              <w:spacing w:before="120" w:after="120"/>
              <w:jc w:val="center"/>
            </w:pPr>
            <w:r>
              <w:rPr>
                <w:b/>
                <w:color w:val="FFFFFF"/>
                <w:sz w:val="19"/>
              </w:rPr>
              <w:t>POSTGRESQL</w:t>
              <w:br/>
              <w:t>All transactional data</w:t>
              <w:br/>
              <w:t>Prod: 10.44.242.67:5432</w:t>
              <w:br/>
              <w:t>DB: egov_prod_db</w:t>
            </w:r>
          </w:p>
        </w:tc>
        <w:tc>
          <w:tcPr>
            <w:tcW w:type="dxa" w:w="2466"/>
            <w:shd w:val="clear" w:color="auto" w:fill="404040"/>
            <w:vAlign w:val="center"/>
          </w:tcPr>
          <w:p>
            <w:pPr>
              <w:spacing w:before="120" w:after="120"/>
              <w:jc w:val="center"/>
            </w:pPr>
            <w:r>
              <w:rPr>
                <w:b/>
                <w:color w:val="FFFFFF"/>
                <w:sz w:val="19"/>
              </w:rPr>
              <w:t>KAFKA</w:t>
              <w:br/>
              <w:t>Event stream bus</w:t>
              <w:br/>
              <w:t>Prod: release-name-kafka</w:t>
              <w:br/>
              <w:t>.backbone:9092</w:t>
            </w:r>
          </w:p>
        </w:tc>
        <w:tc>
          <w:tcPr>
            <w:tcW w:type="dxa" w:w="2466"/>
            <w:shd w:val="clear" w:color="auto" w:fill="404040"/>
            <w:vAlign w:val="center"/>
          </w:tcPr>
          <w:p>
            <w:pPr>
              <w:spacing w:before="120" w:after="120"/>
              <w:jc w:val="center"/>
            </w:pPr>
            <w:r>
              <w:rPr>
                <w:b/>
                <w:color w:val="FFFFFF"/>
                <w:sz w:val="19"/>
              </w:rPr>
              <w:t>ELASTICSEARCH</w:t>
              <w:br/>
              <w:t>Search + logs</w:t>
              <w:br/>
              <w:t>Prod: 10.44.237.231:30920</w:t>
              <w:br/>
              <w:t>UAT: K8s DNS :9200</w:t>
            </w:r>
          </w:p>
        </w:tc>
        <w:tc>
          <w:tcPr>
            <w:tcW w:type="dxa" w:w="2466"/>
            <w:shd w:val="clear" w:color="auto" w:fill="005060"/>
            <w:vAlign w:val="center"/>
          </w:tcPr>
          <w:p>
            <w:pPr>
              <w:spacing w:before="120" w:after="120"/>
              <w:jc w:val="center"/>
            </w:pPr>
            <w:r>
              <w:rPr>
                <w:b/>
                <w:color w:val="FFFFFF"/>
                <w:sz w:val="19"/>
              </w:rPr>
              <w:t>MINIO</w:t>
              <w:br/>
              <w:t>Citizen documents</w:t>
              <w:br/>
              <w:t>PDFs, attachments</w:t>
              <w:br/>
              <w:t>10.44.237.28:9000</w:t>
            </w:r>
          </w:p>
        </w:tc>
      </w:tr>
    </w:tbl>
    <w:p>
      <w:pPr>
        <w:spacing w:before="0" w:after="0"/>
      </w:pPr>
    </w:p>
    <w:p>
      <w:pPr>
        <w:spacing w:before="0" w:after="16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1F3564"/>
          </w:tcPr>
          <w:p>
            <w:pPr>
              <w:spacing w:before="120" w:after="120"/>
            </w:pPr>
            <w:r>
              <w:rPr>
                <w:b/>
                <w:color w:val="FFFFFF"/>
                <w:sz w:val="26"/>
              </w:rPr>
              <w:t xml:space="preserve">  4.  Environment Lifecycle — From Development to Production</w:t>
            </w:r>
          </w:p>
        </w:tc>
      </w:tr>
    </w:tbl>
    <w:p>
      <w:pPr>
        <w:spacing w:before="0" w:after="100"/>
      </w:pPr>
    </w:p>
    <w:p>
      <w:pPr>
        <w:spacing w:after="160" w:before="0"/>
        <w:jc w:val="left"/>
      </w:pPr>
      <w:r>
        <w:rPr>
          <w:b w:val="0"/>
          <w:i w:val="0"/>
          <w:sz w:val="21"/>
        </w:rPr>
        <w:t>All three SDC environments are on the same on-premise infrastructure but are completely isolated — different databases, different namespaces, different domains. Every change must pass through Dev and UAT before reaching Production.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0"/>
        <w:gridCol w:w="2040"/>
        <w:gridCol w:w="2040"/>
        <w:gridCol w:w="2040"/>
        <w:gridCol w:w="2040"/>
      </w:tblGrid>
      <w:tr>
        <w:tc>
          <w:tcPr>
            <w:tcW w:type="dxa" w:w="3080"/>
            <w:shd w:val="clear" w:color="auto" w:fill="70AD47"/>
            <w:vAlign w:val="center"/>
          </w:tcPr>
          <w:p>
            <w:pPr>
              <w:spacing w:before="140" w:after="140"/>
              <w:jc w:val="center"/>
            </w:pPr>
            <w:r>
              <w:rPr>
                <w:b/>
                <w:color w:val="FFFFFF"/>
                <w:sz w:val="18"/>
              </w:rPr>
              <w:t>SDC DEV</w:t>
              <w:br/>
              <w:t>pb-sdc-dev</w:t>
              <w:br/>
              <w:t>mseva-dev.lgpunjab.gov.in</w:t>
            </w:r>
            <w:r>
              <w:rPr>
                <w:b w:val="0"/>
                <w:i/>
                <w:color w:val="FFFFFF"/>
                <w:sz w:val="15"/>
              </w:rPr>
              <w:br/>
              <w:t>Developers test new features</w:t>
            </w:r>
          </w:p>
        </w:tc>
        <w:tc>
          <w:tcPr>
            <w:tcW w:type="dxa" w:w="312"/>
            <w:shd w:val="clear" w:color="auto" w:fill="FFFFFF"/>
            <w:vAlign w:val="center"/>
          </w:tcPr>
          <w:p>
            <w:pPr>
              <w:jc w:val="center"/>
            </w:pPr>
            <w:r>
              <w:rPr>
                <w:color w:val="808080"/>
                <w:sz w:val="28"/>
              </w:rPr>
              <w:t>→</w:t>
            </w:r>
          </w:p>
        </w:tc>
        <w:tc>
          <w:tcPr>
            <w:tcW w:type="dxa" w:w="3080"/>
            <w:shd w:val="clear" w:color="auto" w:fill="ED7D31"/>
            <w:vAlign w:val="center"/>
          </w:tcPr>
          <w:p>
            <w:pPr>
              <w:spacing w:before="140" w:after="140"/>
              <w:jc w:val="center"/>
            </w:pPr>
            <w:r>
              <w:rPr>
                <w:b/>
                <w:color w:val="FFFFFF"/>
                <w:sz w:val="18"/>
              </w:rPr>
              <w:t>SDC UAT</w:t>
              <w:br/>
              <w:t>pb-sdc-uat</w:t>
              <w:br/>
              <w:t>sdc-uat.lgpunjab.gov.in</w:t>
            </w:r>
            <w:r>
              <w:rPr>
                <w:b w:val="0"/>
                <w:i/>
                <w:color w:val="FFFFFF"/>
                <w:sz w:val="15"/>
              </w:rPr>
              <w:br/>
              <w:t>Business team sign-off</w:t>
            </w:r>
          </w:p>
        </w:tc>
        <w:tc>
          <w:tcPr>
            <w:tcW w:type="dxa" w:w="312"/>
            <w:shd w:val="clear" w:color="auto" w:fill="FFFFFF"/>
            <w:vAlign w:val="center"/>
          </w:tcPr>
          <w:p>
            <w:pPr>
              <w:jc w:val="center"/>
            </w:pPr>
            <w:r>
              <w:rPr>
                <w:color w:val="808080"/>
                <w:sz w:val="28"/>
              </w:rPr>
              <w:t>→</w:t>
            </w:r>
          </w:p>
        </w:tc>
        <w:tc>
          <w:tcPr>
            <w:tcW w:type="dxa" w:w="3080"/>
            <w:shd w:val="clear" w:color="auto" w:fill="1F3564"/>
            <w:vAlign w:val="center"/>
          </w:tcPr>
          <w:p>
            <w:pPr>
              <w:spacing w:before="140" w:after="140"/>
              <w:jc w:val="center"/>
            </w:pPr>
            <w:r>
              <w:rPr>
                <w:b/>
                <w:color w:val="FFFFFF"/>
                <w:sz w:val="18"/>
              </w:rPr>
              <w:t>SDC PROD</w:t>
              <w:br/>
              <w:t>pb-sdc-prod</w:t>
              <w:br/>
              <w:t>mseva.lgpunjab.gov.in</w:t>
            </w:r>
            <w:r>
              <w:rPr>
                <w:b w:val="0"/>
                <w:i/>
                <w:color w:val="FFFFFF"/>
                <w:sz w:val="15"/>
              </w:rPr>
              <w:br/>
              <w:t>Live — all Punjab citizens</w:t>
            </w:r>
          </w:p>
        </w:tc>
      </w:tr>
    </w:tbl>
    <w:p>
      <w:pPr>
        <w:spacing w:before="0" w:after="0"/>
      </w:pPr>
    </w:p>
    <w:p>
      <w:pPr>
        <w:spacing w:before="0" w:after="1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0"/>
        <w:gridCol w:w="2550"/>
        <w:gridCol w:w="2550"/>
        <w:gridCol w:w="2550"/>
      </w:tblGrid>
      <w:tr>
        <w:tc>
          <w:tcPr>
            <w:tcW w:type="dxa" w:w="2154"/>
            <w:shd w:val="clear" w:color="auto" w:fill="007987"/>
          </w:tcPr>
          <w:p>
            <w:pPr>
              <w:spacing w:before="60" w:after="60"/>
            </w:pPr>
            <w:r>
              <w:rPr>
                <w:b/>
                <w:color w:val="FFFFFF"/>
                <w:sz w:val="19"/>
              </w:rPr>
            </w:r>
          </w:p>
        </w:tc>
        <w:tc>
          <w:tcPr>
            <w:tcW w:type="dxa" w:w="2381"/>
            <w:shd w:val="clear" w:color="auto" w:fill="007987"/>
          </w:tcPr>
          <w:p>
            <w:pPr>
              <w:spacing w:before="60" w:after="60"/>
            </w:pPr>
            <w:r>
              <w:rPr>
                <w:b/>
                <w:color w:val="FFFFFF"/>
                <w:sz w:val="19"/>
              </w:rPr>
              <w:t>SDC Dev  (pb-sdc-dev)</w:t>
            </w:r>
          </w:p>
        </w:tc>
        <w:tc>
          <w:tcPr>
            <w:tcW w:type="dxa" w:w="2721"/>
            <w:shd w:val="clear" w:color="auto" w:fill="007987"/>
          </w:tcPr>
          <w:p>
            <w:pPr>
              <w:spacing w:before="60" w:after="60"/>
            </w:pPr>
            <w:r>
              <w:rPr>
                <w:b/>
                <w:color w:val="FFFFFF"/>
                <w:sz w:val="19"/>
              </w:rPr>
              <w:t>SDC UAT  (pb-sdc-uat)</w:t>
            </w:r>
          </w:p>
        </w:tc>
        <w:tc>
          <w:tcPr>
            <w:tcW w:type="dxa" w:w="2608"/>
            <w:shd w:val="clear" w:color="auto" w:fill="007987"/>
          </w:tcPr>
          <w:p>
            <w:pPr>
              <w:spacing w:before="60" w:after="60"/>
            </w:pPr>
            <w:r>
              <w:rPr>
                <w:b/>
                <w:color w:val="FFFFFF"/>
                <w:sz w:val="19"/>
              </w:rPr>
              <w:t>SDC Production  (pb-sdc-prod)</w:t>
            </w:r>
          </w:p>
        </w:tc>
      </w:tr>
      <w:tr>
        <w:tc>
          <w:tcPr>
            <w:tcW w:type="dxa" w:w="2154"/>
            <w:shd w:val="clear" w:color="auto" w:fill="F7F9FC"/>
          </w:tcPr>
          <w:p>
            <w:pPr>
              <w:spacing w:before="60" w:after="60"/>
            </w:pPr>
            <w:r>
              <w:rPr>
                <w:b/>
                <w:color w:val="1F3564"/>
                <w:sz w:val="18"/>
              </w:rPr>
              <w:t>Domain</w:t>
            </w:r>
          </w:p>
        </w:tc>
        <w:tc>
          <w:tcPr>
            <w:tcW w:type="dxa" w:w="2381"/>
            <w:shd w:val="clear" w:color="auto" w:fill="F7F9FC"/>
          </w:tcPr>
          <w:p>
            <w:pPr>
              <w:spacing w:before="60" w:after="60"/>
            </w:pPr>
            <w:r>
              <w:rPr>
                <w:b w:val="0"/>
                <w:sz w:val="18"/>
              </w:rPr>
              <w:t>mseva-dev.lgpunjab.gov.in</w:t>
            </w:r>
          </w:p>
        </w:tc>
        <w:tc>
          <w:tcPr>
            <w:tcW w:type="dxa" w:w="2721"/>
            <w:shd w:val="clear" w:color="auto" w:fill="F7F9FC"/>
          </w:tcPr>
          <w:p>
            <w:pPr>
              <w:spacing w:before="60" w:after="60"/>
            </w:pPr>
            <w:r>
              <w:rPr>
                <w:b w:val="0"/>
                <w:sz w:val="18"/>
              </w:rPr>
              <w:t>sdc-uat.lgpunjab.gov.in</w:t>
            </w:r>
          </w:p>
        </w:tc>
        <w:tc>
          <w:tcPr>
            <w:tcW w:type="dxa" w:w="2608"/>
            <w:shd w:val="clear" w:color="auto" w:fill="F7F9FC"/>
          </w:tcPr>
          <w:p>
            <w:pPr>
              <w:spacing w:before="60" w:after="60"/>
            </w:pPr>
            <w:r>
              <w:rPr>
                <w:b w:val="0"/>
                <w:sz w:val="18"/>
              </w:rPr>
              <w:t>mseva.lgpunjab.gov.in</w:t>
            </w:r>
          </w:p>
        </w:tc>
      </w:tr>
      <w:tr>
        <w:tc>
          <w:tcPr>
            <w:tcW w:type="dxa" w:w="2154"/>
            <w:shd w:val="clear" w:color="auto" w:fill="FFFFFF"/>
          </w:tcPr>
          <w:p>
            <w:pPr>
              <w:spacing w:before="60" w:after="60"/>
            </w:pPr>
            <w:r>
              <w:rPr>
                <w:b/>
                <w:color w:val="1F3564"/>
                <w:sz w:val="18"/>
              </w:rPr>
              <w:t>Database host</w:t>
            </w:r>
          </w:p>
        </w:tc>
        <w:tc>
          <w:tcPr>
            <w:tcW w:type="dxa" w:w="2381"/>
            <w:shd w:val="clear" w:color="auto" w:fill="FFFFFF"/>
          </w:tcPr>
          <w:p>
            <w:pPr>
              <w:spacing w:before="60" w:after="60"/>
            </w:pPr>
            <w:r>
              <w:rPr>
                <w:b w:val="0"/>
                <w:sz w:val="18"/>
              </w:rPr>
              <w:t>10.44.237.25:5432</w:t>
            </w:r>
          </w:p>
        </w:tc>
        <w:tc>
          <w:tcPr>
            <w:tcW w:type="dxa" w:w="2721"/>
            <w:shd w:val="clear" w:color="auto" w:fill="FFFFFF"/>
          </w:tcPr>
          <w:p>
            <w:pPr>
              <w:spacing w:before="60" w:after="60"/>
            </w:pPr>
            <w:r>
              <w:rPr>
                <w:b w:val="0"/>
                <w:sz w:val="18"/>
              </w:rPr>
              <w:t>10.44.237.25:5432</w:t>
            </w:r>
          </w:p>
        </w:tc>
        <w:tc>
          <w:tcPr>
            <w:tcW w:type="dxa" w:w="2608"/>
            <w:shd w:val="clear" w:color="auto" w:fill="FFFFFF"/>
          </w:tcPr>
          <w:p>
            <w:pPr>
              <w:spacing w:before="60" w:after="60"/>
            </w:pPr>
            <w:r>
              <w:rPr>
                <w:b w:val="0"/>
                <w:sz w:val="18"/>
              </w:rPr>
              <w:t>10.44.242.67:5432 (primary)</w:t>
              <w:br/>
              <w:t>10.44.242.68:5432 (read replica)</w:t>
            </w:r>
          </w:p>
        </w:tc>
      </w:tr>
      <w:tr>
        <w:tc>
          <w:tcPr>
            <w:tcW w:type="dxa" w:w="2154"/>
            <w:shd w:val="clear" w:color="auto" w:fill="F7F9FC"/>
          </w:tcPr>
          <w:p>
            <w:pPr>
              <w:spacing w:before="60" w:after="60"/>
            </w:pPr>
            <w:r>
              <w:rPr>
                <w:b/>
                <w:color w:val="1F3564"/>
                <w:sz w:val="18"/>
              </w:rPr>
              <w:t>Main DB name</w:t>
            </w:r>
          </w:p>
        </w:tc>
        <w:tc>
          <w:tcPr>
            <w:tcW w:type="dxa" w:w="2381"/>
            <w:shd w:val="clear" w:color="auto" w:fill="F7F9FC"/>
          </w:tcPr>
          <w:p>
            <w:pPr>
              <w:spacing w:before="60" w:after="60"/>
            </w:pPr>
            <w:r>
              <w:rPr>
                <w:b w:val="0"/>
                <w:sz w:val="18"/>
              </w:rPr>
              <w:t>egov_prod_db_new</w:t>
            </w:r>
          </w:p>
        </w:tc>
        <w:tc>
          <w:tcPr>
            <w:tcW w:type="dxa" w:w="2721"/>
            <w:shd w:val="clear" w:color="auto" w:fill="F7F9FC"/>
          </w:tcPr>
          <w:p>
            <w:pPr>
              <w:spacing w:before="60" w:after="60"/>
            </w:pPr>
            <w:r>
              <w:rPr>
                <w:b w:val="0"/>
                <w:sz w:val="18"/>
              </w:rPr>
              <w:t>egov_prod_db</w:t>
            </w:r>
          </w:p>
        </w:tc>
        <w:tc>
          <w:tcPr>
            <w:tcW w:type="dxa" w:w="2608"/>
            <w:shd w:val="clear" w:color="auto" w:fill="F7F9FC"/>
          </w:tcPr>
          <w:p>
            <w:pPr>
              <w:spacing w:before="60" w:after="60"/>
            </w:pPr>
            <w:r>
              <w:rPr>
                <w:b w:val="0"/>
                <w:sz w:val="18"/>
              </w:rPr>
              <w:t>egov_prod_db</w:t>
            </w:r>
          </w:p>
        </w:tc>
      </w:tr>
      <w:tr>
        <w:tc>
          <w:tcPr>
            <w:tcW w:type="dxa" w:w="2154"/>
            <w:shd w:val="clear" w:color="auto" w:fill="FFFFFF"/>
          </w:tcPr>
          <w:p>
            <w:pPr>
              <w:spacing w:before="60" w:after="60"/>
            </w:pPr>
            <w:r>
              <w:rPr>
                <w:b/>
                <w:color w:val="1F3564"/>
                <w:sz w:val="18"/>
              </w:rPr>
              <w:t>BPA (OBPAS) DB</w:t>
            </w:r>
          </w:p>
        </w:tc>
        <w:tc>
          <w:tcPr>
            <w:tcW w:type="dxa" w:w="2381"/>
            <w:shd w:val="clear" w:color="auto" w:fill="FFFFFF"/>
          </w:tcPr>
          <w:p>
            <w:pPr>
              <w:spacing w:before="60" w:after="60"/>
            </w:pPr>
            <w:r>
              <w:rPr>
                <w:b w:val="0"/>
                <w:sz w:val="18"/>
              </w:rPr>
              <w:t>dev_1</w:t>
            </w:r>
          </w:p>
        </w:tc>
        <w:tc>
          <w:tcPr>
            <w:tcW w:type="dxa" w:w="2721"/>
            <w:shd w:val="clear" w:color="auto" w:fill="FFFFFF"/>
          </w:tcPr>
          <w:p>
            <w:pPr>
              <w:spacing w:before="60" w:after="60"/>
            </w:pPr>
            <w:r>
              <w:rPr>
                <w:b w:val="0"/>
                <w:sz w:val="18"/>
              </w:rPr>
              <w:t>uat_1</w:t>
            </w:r>
          </w:p>
        </w:tc>
        <w:tc>
          <w:tcPr>
            <w:tcW w:type="dxa" w:w="2608"/>
            <w:shd w:val="clear" w:color="auto" w:fill="FFFFFF"/>
          </w:tcPr>
          <w:p>
            <w:pPr>
              <w:spacing w:before="60" w:after="60"/>
            </w:pPr>
            <w:r>
              <w:rPr>
                <w:b w:val="0"/>
                <w:sz w:val="18"/>
              </w:rPr>
              <w:t>edcr_prod_db</w:t>
            </w:r>
          </w:p>
        </w:tc>
      </w:tr>
      <w:tr>
        <w:tc>
          <w:tcPr>
            <w:tcW w:type="dxa" w:w="2154"/>
            <w:shd w:val="clear" w:color="auto" w:fill="F7F9FC"/>
          </w:tcPr>
          <w:p>
            <w:pPr>
              <w:spacing w:before="60" w:after="60"/>
            </w:pPr>
            <w:r>
              <w:rPr>
                <w:b/>
                <w:color w:val="1F3564"/>
                <w:sz w:val="18"/>
              </w:rPr>
              <w:t>Kafka brokers</w:t>
            </w:r>
          </w:p>
        </w:tc>
        <w:tc>
          <w:tcPr>
            <w:tcW w:type="dxa" w:w="2381"/>
            <w:shd w:val="clear" w:color="auto" w:fill="F7F9FC"/>
          </w:tcPr>
          <w:p>
            <w:pPr>
              <w:spacing w:before="60" w:after="60"/>
            </w:pPr>
            <w:r>
              <w:rPr>
                <w:b w:val="0"/>
                <w:sz w:val="18"/>
              </w:rPr>
              <w:t>release-name-kafka</w:t>
              <w:br/>
              <w:t>.backbone:9092 (Zookeeper)</w:t>
            </w:r>
          </w:p>
        </w:tc>
        <w:tc>
          <w:tcPr>
            <w:tcW w:type="dxa" w:w="2721"/>
            <w:shd w:val="clear" w:color="auto" w:fill="F7F9FC"/>
          </w:tcPr>
          <w:p>
            <w:pPr>
              <w:spacing w:before="60" w:after="60"/>
            </w:pPr>
            <w:r>
              <w:rPr>
                <w:b w:val="0"/>
                <w:sz w:val="18"/>
              </w:rPr>
              <w:t>release-name-kafka-kraft</w:t>
              <w:br/>
              <w:t>.backbone:9092 (KRaft - no ZK)</w:t>
            </w:r>
          </w:p>
        </w:tc>
        <w:tc>
          <w:tcPr>
            <w:tcW w:type="dxa" w:w="2608"/>
            <w:shd w:val="clear" w:color="auto" w:fill="F7F9FC"/>
          </w:tcPr>
          <w:p>
            <w:pPr>
              <w:spacing w:before="60" w:after="60"/>
            </w:pPr>
            <w:r>
              <w:rPr>
                <w:b w:val="0"/>
                <w:sz w:val="18"/>
              </w:rPr>
              <w:t>release-name-kafka</w:t>
              <w:br/>
              <w:t>.backbone:9092 (Zookeeper)</w:t>
            </w:r>
          </w:p>
        </w:tc>
      </w:tr>
      <w:tr>
        <w:tc>
          <w:tcPr>
            <w:tcW w:type="dxa" w:w="2154"/>
            <w:shd w:val="clear" w:color="auto" w:fill="FFFFFF"/>
          </w:tcPr>
          <w:p>
            <w:pPr>
              <w:spacing w:before="60" w:after="60"/>
            </w:pPr>
            <w:r>
              <w:rPr>
                <w:b/>
                <w:color w:val="1F3564"/>
                <w:sz w:val="18"/>
              </w:rPr>
              <w:t>Elasticsearch</w:t>
            </w:r>
          </w:p>
        </w:tc>
        <w:tc>
          <w:tcPr>
            <w:tcW w:type="dxa" w:w="2381"/>
            <w:shd w:val="clear" w:color="auto" w:fill="FFFFFF"/>
          </w:tcPr>
          <w:p>
            <w:pPr>
              <w:spacing w:before="60" w:after="60"/>
            </w:pPr>
            <w:r>
              <w:rPr>
                <w:b w:val="0"/>
                <w:sz w:val="18"/>
              </w:rPr>
              <w:t>K8s DNS :9200</w:t>
            </w:r>
          </w:p>
        </w:tc>
        <w:tc>
          <w:tcPr>
            <w:tcW w:type="dxa" w:w="2721"/>
            <w:shd w:val="clear" w:color="auto" w:fill="FFFFFF"/>
          </w:tcPr>
          <w:p>
            <w:pPr>
              <w:spacing w:before="60" w:after="60"/>
            </w:pPr>
            <w:r>
              <w:rPr>
                <w:b w:val="0"/>
                <w:sz w:val="18"/>
              </w:rPr>
              <w:t>K8s DNS :9200</w:t>
            </w:r>
          </w:p>
        </w:tc>
        <w:tc>
          <w:tcPr>
            <w:tcW w:type="dxa" w:w="2608"/>
            <w:shd w:val="clear" w:color="auto" w:fill="FFFFFF"/>
          </w:tcPr>
          <w:p>
            <w:pPr>
              <w:spacing w:before="60" w:after="60"/>
            </w:pPr>
            <w:r>
              <w:rPr>
                <w:b w:val="0"/>
                <w:sz w:val="18"/>
              </w:rPr>
              <w:t>NodePort 10.44.237.231:30920</w:t>
              <w:br/>
              <w:t>Infra: 10.44.237.233:30920</w:t>
            </w:r>
          </w:p>
        </w:tc>
      </w:tr>
      <w:tr>
        <w:tc>
          <w:tcPr>
            <w:tcW w:type="dxa" w:w="2154"/>
            <w:shd w:val="clear" w:color="auto" w:fill="F7F9FC"/>
          </w:tcPr>
          <w:p>
            <w:pPr>
              <w:spacing w:before="60" w:after="60"/>
            </w:pPr>
            <w:r>
              <w:rPr>
                <w:b/>
                <w:color w:val="1F3564"/>
                <w:sz w:val="18"/>
              </w:rPr>
              <w:t>SMS to citizens</w:t>
            </w:r>
          </w:p>
        </w:tc>
        <w:tc>
          <w:tcPr>
            <w:tcW w:type="dxa" w:w="2381"/>
            <w:shd w:val="clear" w:color="auto" w:fill="F7F9FC"/>
          </w:tcPr>
          <w:p>
            <w:pPr>
              <w:spacing w:before="60" w:after="60"/>
            </w:pPr>
            <w:r>
              <w:rPr>
                <w:b w:val="0"/>
                <w:sz w:val="18"/>
              </w:rPr>
              <w:t>Disabled</w:t>
            </w:r>
          </w:p>
        </w:tc>
        <w:tc>
          <w:tcPr>
            <w:tcW w:type="dxa" w:w="2721"/>
            <w:shd w:val="clear" w:color="auto" w:fill="F7F9FC"/>
          </w:tcPr>
          <w:p>
            <w:pPr>
              <w:spacing w:before="60" w:after="60"/>
            </w:pPr>
            <w:r>
              <w:rPr>
                <w:b w:val="0"/>
                <w:sz w:val="18"/>
              </w:rPr>
              <w:t>Console only (no real SMS)</w:t>
            </w:r>
          </w:p>
        </w:tc>
        <w:tc>
          <w:tcPr>
            <w:tcW w:type="dxa" w:w="2608"/>
            <w:shd w:val="clear" w:color="auto" w:fill="F7F9FC"/>
          </w:tcPr>
          <w:p>
            <w:pPr>
              <w:spacing w:before="60" w:after="60"/>
            </w:pPr>
            <w:r>
              <w:rPr>
                <w:b w:val="0"/>
                <w:sz w:val="18"/>
              </w:rPr>
              <w:t>Enabled — smsgw.sms.gov.in</w:t>
              <w:br/>
              <w:t>Sender: PBGOVT</w:t>
            </w:r>
          </w:p>
        </w:tc>
      </w:tr>
      <w:tr>
        <w:tc>
          <w:tcPr>
            <w:tcW w:type="dxa" w:w="2154"/>
            <w:shd w:val="clear" w:color="auto" w:fill="FFFFFF"/>
          </w:tcPr>
          <w:p>
            <w:pPr>
              <w:spacing w:before="60" w:after="60"/>
            </w:pPr>
            <w:r>
              <w:rPr>
                <w:b/>
                <w:color w:val="1F3564"/>
                <w:sz w:val="18"/>
              </w:rPr>
              <w:t>Container registry</w:t>
            </w:r>
          </w:p>
        </w:tc>
        <w:tc>
          <w:tcPr>
            <w:tcW w:type="dxa" w:w="2381"/>
            <w:shd w:val="clear" w:color="auto" w:fill="FFFFFF"/>
          </w:tcPr>
          <w:p>
            <w:pPr>
              <w:spacing w:before="60" w:after="60"/>
            </w:pPr>
            <w:r>
              <w:rPr>
                <w:b w:val="0"/>
                <w:sz w:val="18"/>
              </w:rPr>
              <w:t>pmidcio/</w:t>
            </w:r>
          </w:p>
        </w:tc>
        <w:tc>
          <w:tcPr>
            <w:tcW w:type="dxa" w:w="2721"/>
            <w:shd w:val="clear" w:color="auto" w:fill="FFFFFF"/>
          </w:tcPr>
          <w:p>
            <w:pPr>
              <w:spacing w:before="60" w:after="60"/>
            </w:pPr>
            <w:r>
              <w:rPr>
                <w:b w:val="0"/>
                <w:sz w:val="18"/>
              </w:rPr>
              <w:t>pmidcio/</w:t>
            </w:r>
          </w:p>
        </w:tc>
        <w:tc>
          <w:tcPr>
            <w:tcW w:type="dxa" w:w="2608"/>
            <w:shd w:val="clear" w:color="auto" w:fill="FFFFFF"/>
          </w:tcPr>
          <w:p>
            <w:pPr>
              <w:spacing w:before="60" w:after="60"/>
            </w:pPr>
            <w:r>
              <w:rPr>
                <w:b w:val="0"/>
                <w:sz w:val="18"/>
              </w:rPr>
              <w:t>pmidcio/</w:t>
            </w:r>
          </w:p>
        </w:tc>
      </w:tr>
      <w:tr>
        <w:tc>
          <w:tcPr>
            <w:tcW w:type="dxa" w:w="2154"/>
            <w:shd w:val="clear" w:color="auto" w:fill="F7F9FC"/>
          </w:tcPr>
          <w:p>
            <w:pPr>
              <w:spacing w:before="60" w:after="60"/>
            </w:pPr>
            <w:r>
              <w:rPr>
                <w:b/>
                <w:color w:val="1F3564"/>
                <w:sz w:val="18"/>
              </w:rPr>
              <w:t>gitSync branch</w:t>
            </w:r>
          </w:p>
        </w:tc>
        <w:tc>
          <w:tcPr>
            <w:tcW w:type="dxa" w:w="2381"/>
            <w:shd w:val="clear" w:color="auto" w:fill="F7F9FC"/>
          </w:tcPr>
          <w:p>
            <w:pPr>
              <w:spacing w:before="60" w:after="60"/>
            </w:pPr>
            <w:r>
              <w:rPr>
                <w:b w:val="0"/>
                <w:sz w:val="18"/>
              </w:rPr>
              <w:t>PROD_V2</w:t>
            </w:r>
          </w:p>
        </w:tc>
        <w:tc>
          <w:tcPr>
            <w:tcW w:type="dxa" w:w="2721"/>
            <w:shd w:val="clear" w:color="auto" w:fill="F7F9FC"/>
          </w:tcPr>
          <w:p>
            <w:pPr>
              <w:spacing w:before="60" w:after="60"/>
            </w:pPr>
            <w:r>
              <w:rPr>
                <w:b w:val="0"/>
                <w:sz w:val="18"/>
              </w:rPr>
              <w:t>PROD_V2</w:t>
            </w:r>
          </w:p>
        </w:tc>
        <w:tc>
          <w:tcPr>
            <w:tcW w:type="dxa" w:w="2608"/>
            <w:shd w:val="clear" w:color="auto" w:fill="F7F9FC"/>
          </w:tcPr>
          <w:p>
            <w:pPr>
              <w:spacing w:before="60" w:after="60"/>
            </w:pPr>
            <w:r>
              <w:rPr>
                <w:b w:val="0"/>
                <w:sz w:val="18"/>
              </w:rPr>
              <w:t>PROD_V2</w:t>
            </w:r>
          </w:p>
        </w:tc>
      </w:tr>
      <w:tr>
        <w:tc>
          <w:tcPr>
            <w:tcW w:type="dxa" w:w="2154"/>
            <w:shd w:val="clear" w:color="auto" w:fill="FFFFFF"/>
          </w:tcPr>
          <w:p>
            <w:pPr>
              <w:spacing w:before="60" w:after="60"/>
            </w:pPr>
            <w:r>
              <w:rPr>
                <w:b/>
                <w:color w:val="1F3564"/>
                <w:sz w:val="18"/>
              </w:rPr>
              <w:t>Who uses it</w:t>
            </w:r>
          </w:p>
        </w:tc>
        <w:tc>
          <w:tcPr>
            <w:tcW w:type="dxa" w:w="2381"/>
            <w:shd w:val="clear" w:color="auto" w:fill="FFFFFF"/>
          </w:tcPr>
          <w:p>
            <w:pPr>
              <w:spacing w:before="60" w:after="60"/>
            </w:pPr>
            <w:r>
              <w:rPr>
                <w:b w:val="0"/>
                <w:sz w:val="18"/>
              </w:rPr>
              <w:t>Developers</w:t>
            </w:r>
          </w:p>
        </w:tc>
        <w:tc>
          <w:tcPr>
            <w:tcW w:type="dxa" w:w="2721"/>
            <w:shd w:val="clear" w:color="auto" w:fill="FFFFFF"/>
          </w:tcPr>
          <w:p>
            <w:pPr>
              <w:spacing w:before="60" w:after="60"/>
            </w:pPr>
            <w:r>
              <w:rPr>
                <w:b w:val="0"/>
                <w:sz w:val="18"/>
              </w:rPr>
              <w:t>QA + Business team</w:t>
            </w:r>
          </w:p>
        </w:tc>
        <w:tc>
          <w:tcPr>
            <w:tcW w:type="dxa" w:w="2608"/>
            <w:shd w:val="clear" w:color="auto" w:fill="FFFFFF"/>
          </w:tcPr>
          <w:p>
            <w:pPr>
              <w:spacing w:before="60" w:after="60"/>
            </w:pPr>
            <w:r>
              <w:rPr>
                <w:b w:val="0"/>
                <w:sz w:val="18"/>
              </w:rPr>
              <w:t>All Punjab citizens (live)</w:t>
            </w:r>
          </w:p>
        </w:tc>
      </w:tr>
      <w:tr>
        <w:tc>
          <w:tcPr>
            <w:tcW w:type="dxa" w:w="2154"/>
            <w:shd w:val="clear" w:color="auto" w:fill="F7F9FC"/>
          </w:tcPr>
          <w:p>
            <w:pPr>
              <w:spacing w:before="60" w:after="60"/>
            </w:pPr>
            <w:r>
              <w:rPr>
                <w:b/>
                <w:color w:val="1F3564"/>
                <w:sz w:val="18"/>
              </w:rPr>
              <w:t>billing-service replicas</w:t>
            </w:r>
          </w:p>
        </w:tc>
        <w:tc>
          <w:tcPr>
            <w:tcW w:type="dxa" w:w="2381"/>
            <w:shd w:val="clear" w:color="auto" w:fill="F7F9FC"/>
          </w:tcPr>
          <w:p>
            <w:pPr>
              <w:spacing w:before="60" w:after="60"/>
            </w:pPr>
            <w:r>
              <w:rPr>
                <w:b w:val="0"/>
                <w:sz w:val="18"/>
              </w:rPr>
              <w:t>1</w:t>
            </w:r>
          </w:p>
        </w:tc>
        <w:tc>
          <w:tcPr>
            <w:tcW w:type="dxa" w:w="2721"/>
            <w:shd w:val="clear" w:color="auto" w:fill="F7F9FC"/>
          </w:tcPr>
          <w:p>
            <w:pPr>
              <w:spacing w:before="60" w:after="60"/>
            </w:pPr>
            <w:r>
              <w:rPr>
                <w:b w:val="0"/>
                <w:sz w:val="18"/>
              </w:rPr>
              <w:t>5</w:t>
            </w:r>
          </w:p>
        </w:tc>
        <w:tc>
          <w:tcPr>
            <w:tcW w:type="dxa" w:w="2608"/>
            <w:shd w:val="clear" w:color="auto" w:fill="F7F9FC"/>
          </w:tcPr>
          <w:p>
            <w:pPr>
              <w:spacing w:before="60" w:after="60"/>
            </w:pPr>
            <w:r>
              <w:rPr>
                <w:b w:val="0"/>
                <w:sz w:val="18"/>
              </w:rPr>
              <w:t>7</w:t>
            </w:r>
          </w:p>
        </w:tc>
      </w:tr>
      <w:tr>
        <w:tc>
          <w:tcPr>
            <w:tcW w:type="dxa" w:w="2154"/>
            <w:shd w:val="clear" w:color="auto" w:fill="FFFFFF"/>
          </w:tcPr>
          <w:p>
            <w:pPr>
              <w:spacing w:before="60" w:after="60"/>
            </w:pPr>
            <w:r>
              <w:rPr>
                <w:b/>
                <w:color w:val="1F3564"/>
                <w:sz w:val="18"/>
              </w:rPr>
              <w:t>egov-user replicas</w:t>
            </w:r>
          </w:p>
        </w:tc>
        <w:tc>
          <w:tcPr>
            <w:tcW w:type="dxa" w:w="2381"/>
            <w:shd w:val="clear" w:color="auto" w:fill="FFFFFF"/>
          </w:tcPr>
          <w:p>
            <w:pPr>
              <w:spacing w:before="60" w:after="60"/>
            </w:pPr>
            <w:r>
              <w:rPr>
                <w:b w:val="0"/>
                <w:sz w:val="18"/>
              </w:rPr>
              <w:t>1</w:t>
            </w:r>
          </w:p>
        </w:tc>
        <w:tc>
          <w:tcPr>
            <w:tcW w:type="dxa" w:w="2721"/>
            <w:shd w:val="clear" w:color="auto" w:fill="FFFFFF"/>
          </w:tcPr>
          <w:p>
            <w:pPr>
              <w:spacing w:before="60" w:after="60"/>
            </w:pPr>
            <w:r>
              <w:rPr>
                <w:b w:val="0"/>
                <w:sz w:val="18"/>
              </w:rPr>
              <w:t>—</w:t>
            </w:r>
          </w:p>
        </w:tc>
        <w:tc>
          <w:tcPr>
            <w:tcW w:type="dxa" w:w="2608"/>
            <w:shd w:val="clear" w:color="auto" w:fill="FFFFFF"/>
          </w:tcPr>
          <w:p>
            <w:pPr>
              <w:spacing w:before="60" w:after="60"/>
            </w:pPr>
            <w:r>
              <w:rPr>
                <w:b w:val="0"/>
                <w:sz w:val="18"/>
              </w:rPr>
              <w:t>7</w:t>
            </w:r>
          </w:p>
        </w:tc>
      </w:tr>
    </w:tbl>
    <w:p>
      <w:pPr>
        <w:spacing w:before="0" w:after="12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ED7D31"/>
          </w:tcPr>
          <w:p>
            <w:pPr>
              <w:spacing w:before="120" w:after="120"/>
            </w:pPr>
            <w:r>
              <w:rPr>
                <w:b/>
                <w:color w:val="FFFFFF"/>
                <w:sz w:val="26"/>
              </w:rPr>
              <w:t xml:space="preserve">  5.  How We Build Software  —  CI/CD Build Pipeline</w:t>
            </w:r>
          </w:p>
        </w:tc>
      </w:tr>
    </w:tbl>
    <w:p>
      <w:pPr>
        <w:spacing w:before="0" w:after="100"/>
      </w:pPr>
    </w:p>
    <w:p>
      <w:pPr>
        <w:spacing w:after="160" w:before="0"/>
        <w:jc w:val="left"/>
      </w:pPr>
      <w:r>
        <w:rPr>
          <w:b w:val="0"/>
          <w:i w:val="0"/>
          <w:sz w:val="21"/>
        </w:rPr>
        <w:t>When a developer writes new code or fixes a bug, Jenkins automatically detects the change and builds a new Docker image tagged with the Git commit SHA. The image is pushed to the pmidcio/ private registry and is then ready for deployment.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33"/>
        <w:gridCol w:w="1133"/>
        <w:gridCol w:w="1133"/>
        <w:gridCol w:w="1133"/>
        <w:gridCol w:w="1133"/>
        <w:gridCol w:w="1133"/>
        <w:gridCol w:w="1133"/>
        <w:gridCol w:w="1133"/>
        <w:gridCol w:w="1133"/>
      </w:tblGrid>
      <w:tr>
        <w:tc>
          <w:tcPr>
            <w:tcW w:type="dxa" w:w="1723"/>
            <w:shd w:val="clear" w:color="auto" w:fill="1E7A45"/>
            <w:vAlign w:val="center"/>
          </w:tcPr>
          <w:p>
            <w:pPr>
              <w:spacing w:before="140" w:after="140"/>
              <w:jc w:val="center"/>
            </w:pPr>
            <w:r>
              <w:rPr>
                <w:b/>
                <w:color w:val="FFFFFF"/>
                <w:sz w:val="18"/>
              </w:rPr>
              <w:t>① Developer</w:t>
              <w:br/>
              <w:t>Writes code</w:t>
              <w:br/>
              <w:t>pushes to GitHub</w:t>
            </w:r>
          </w:p>
        </w:tc>
        <w:tc>
          <w:tcPr>
            <w:tcW w:type="dxa" w:w="312"/>
            <w:shd w:val="clear" w:color="auto" w:fill="FFFFFF"/>
            <w:vAlign w:val="center"/>
          </w:tcPr>
          <w:p>
            <w:pPr>
              <w:jc w:val="center"/>
            </w:pPr>
            <w:r>
              <w:rPr>
                <w:color w:val="808080"/>
                <w:sz w:val="28"/>
              </w:rPr>
              <w:t>→</w:t>
            </w:r>
          </w:p>
        </w:tc>
        <w:tc>
          <w:tcPr>
            <w:tcW w:type="dxa" w:w="1723"/>
            <w:shd w:val="clear" w:color="auto" w:fill="ED7D31"/>
            <w:vAlign w:val="center"/>
          </w:tcPr>
          <w:p>
            <w:pPr>
              <w:spacing w:before="140" w:after="140"/>
              <w:jc w:val="center"/>
            </w:pPr>
            <w:r>
              <w:rPr>
                <w:b/>
                <w:color w:val="FFFFFF"/>
                <w:sz w:val="18"/>
              </w:rPr>
              <w:t>② GitHub</w:t>
              <w:br/>
              <w:t>Webhook fires</w:t>
              <w:br/>
              <w:t>Jenkins notified</w:t>
            </w:r>
          </w:p>
        </w:tc>
        <w:tc>
          <w:tcPr>
            <w:tcW w:type="dxa" w:w="312"/>
            <w:shd w:val="clear" w:color="auto" w:fill="FFFFFF"/>
            <w:vAlign w:val="center"/>
          </w:tcPr>
          <w:p>
            <w:pPr>
              <w:jc w:val="center"/>
            </w:pPr>
            <w:r>
              <w:rPr>
                <w:color w:val="808080"/>
                <w:sz w:val="28"/>
              </w:rPr>
              <w:t>→</w:t>
            </w:r>
          </w:p>
        </w:tc>
        <w:tc>
          <w:tcPr>
            <w:tcW w:type="dxa" w:w="1723"/>
            <w:shd w:val="clear" w:color="auto" w:fill="ED7D31"/>
            <w:vAlign w:val="center"/>
          </w:tcPr>
          <w:p>
            <w:pPr>
              <w:spacing w:before="140" w:after="140"/>
              <w:jc w:val="center"/>
            </w:pPr>
            <w:r>
              <w:rPr>
                <w:b/>
                <w:color w:val="FFFFFF"/>
                <w:sz w:val="18"/>
              </w:rPr>
              <w:t>③ Jenkins</w:t>
              <w:br/>
              <w:t>Maven build</w:t>
              <w:br/>
              <w:t>+ unit tests</w:t>
            </w:r>
          </w:p>
        </w:tc>
        <w:tc>
          <w:tcPr>
            <w:tcW w:type="dxa" w:w="312"/>
            <w:shd w:val="clear" w:color="auto" w:fill="FFFFFF"/>
            <w:vAlign w:val="center"/>
          </w:tcPr>
          <w:p>
            <w:pPr>
              <w:jc w:val="center"/>
            </w:pPr>
            <w:r>
              <w:rPr>
                <w:color w:val="808080"/>
                <w:sz w:val="28"/>
              </w:rPr>
              <w:t>→</w:t>
            </w:r>
          </w:p>
        </w:tc>
        <w:tc>
          <w:tcPr>
            <w:tcW w:type="dxa" w:w="1723"/>
            <w:shd w:val="clear" w:color="auto" w:fill="2E74B5"/>
            <w:vAlign w:val="center"/>
          </w:tcPr>
          <w:p>
            <w:pPr>
              <w:spacing w:before="140" w:after="140"/>
              <w:jc w:val="center"/>
            </w:pPr>
            <w:r>
              <w:rPr>
                <w:b/>
                <w:color w:val="FFFFFF"/>
                <w:sz w:val="18"/>
              </w:rPr>
              <w:t>④ docker build</w:t>
              <w:br/>
              <w:t>Image tagged</w:t>
              <w:br/>
              <w:t>with Git SHA</w:t>
            </w:r>
          </w:p>
        </w:tc>
        <w:tc>
          <w:tcPr>
            <w:tcW w:type="dxa" w:w="312"/>
            <w:shd w:val="clear" w:color="auto" w:fill="FFFFFF"/>
            <w:vAlign w:val="center"/>
          </w:tcPr>
          <w:p>
            <w:pPr>
              <w:jc w:val="center"/>
            </w:pPr>
            <w:r>
              <w:rPr>
                <w:color w:val="808080"/>
                <w:sz w:val="28"/>
              </w:rPr>
              <w:t>→</w:t>
            </w:r>
          </w:p>
        </w:tc>
        <w:tc>
          <w:tcPr>
            <w:tcW w:type="dxa" w:w="1723"/>
            <w:shd w:val="clear" w:color="auto" w:fill="1F3564"/>
            <w:vAlign w:val="center"/>
          </w:tcPr>
          <w:p>
            <w:pPr>
              <w:spacing w:before="140" w:after="140"/>
              <w:jc w:val="center"/>
            </w:pPr>
            <w:r>
              <w:rPr>
                <w:b/>
                <w:color w:val="FFFFFF"/>
                <w:sz w:val="18"/>
              </w:rPr>
              <w:t>⑤ docker push</w:t>
              <w:br/>
              <w:t>pmidcio/service</w:t>
              <w:br/>
              <w:t>:git-sha</w:t>
            </w:r>
          </w:p>
        </w:tc>
      </w:tr>
    </w:tbl>
    <w:p>
      <w:pPr>
        <w:spacing w:before="0" w:after="0"/>
      </w:pPr>
    </w:p>
    <w:p>
      <w:pPr>
        <w:spacing w:before="0" w:after="1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404040"/>
            <w:vAlign w:val="center"/>
          </w:tcPr>
          <w:p>
            <w:pPr>
              <w:spacing w:before="100" w:after="100"/>
              <w:jc w:val="center"/>
            </w:pPr>
            <w:r>
              <w:rPr>
                <w:b/>
                <w:color w:val="FFFFFF"/>
                <w:sz w:val="20"/>
              </w:rPr>
              <w:t>Jenkins CI Server:  pmidc-builds.digit.org  |  Runs on AWS Spot cluster (CI-only infrastructure)</w:t>
            </w:r>
            <w:r>
              <w:rPr>
                <w:b w:val="0"/>
                <w:i/>
                <w:color w:val="FFFFFF"/>
                <w:sz w:val="15"/>
              </w:rPr>
              <w:br/>
              <w:t>Shared library "ci-libs" handles all build logic.  Build targets configured in build/build-config.yml</w:t>
            </w:r>
          </w:p>
        </w:tc>
      </w:tr>
    </w:tbl>
    <w:p>
      <w:pPr>
        <w:spacing w:before="0" w:after="0"/>
      </w:pPr>
    </w:p>
    <w:p>
      <w:pPr>
        <w:spacing w:before="0" w:after="1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737"/>
            <w:shd w:val="clear" w:color="auto" w:fill="ED7D31"/>
          </w:tcPr>
          <w:p>
            <w:pPr>
              <w:spacing w:before="60" w:after="60"/>
            </w:pPr>
            <w:r>
              <w:rPr>
                <w:b/>
                <w:color w:val="FFFFFF"/>
                <w:sz w:val="19"/>
              </w:rPr>
              <w:t>Step</w:t>
            </w:r>
          </w:p>
        </w:tc>
        <w:tc>
          <w:tcPr>
            <w:tcW w:type="dxa" w:w="2154"/>
            <w:shd w:val="clear" w:color="auto" w:fill="ED7D31"/>
          </w:tcPr>
          <w:p>
            <w:pPr>
              <w:spacing w:before="60" w:after="60"/>
            </w:pPr>
            <w:r>
              <w:rPr>
                <w:b/>
                <w:color w:val="FFFFFF"/>
                <w:sz w:val="19"/>
              </w:rPr>
              <w:t>Who</w:t>
            </w:r>
          </w:p>
        </w:tc>
        <w:tc>
          <w:tcPr>
            <w:tcW w:type="dxa" w:w="6973"/>
            <w:shd w:val="clear" w:color="auto" w:fill="ED7D31"/>
          </w:tcPr>
          <w:p>
            <w:pPr>
              <w:spacing w:before="60" w:after="60"/>
            </w:pPr>
            <w:r>
              <w:rPr>
                <w:b/>
                <w:color w:val="FFFFFF"/>
                <w:sz w:val="19"/>
              </w:rPr>
              <w:t>Action</w:t>
            </w:r>
          </w:p>
        </w:tc>
      </w:tr>
      <w:tr>
        <w:tc>
          <w:tcPr>
            <w:tcW w:type="dxa" w:w="737"/>
            <w:shd w:val="clear" w:color="auto" w:fill="F7F9FC"/>
          </w:tcPr>
          <w:p>
            <w:pPr>
              <w:spacing w:before="60" w:after="60"/>
              <w:jc w:val="center"/>
            </w:pPr>
            <w:r>
              <w:rPr>
                <w:b/>
                <w:color w:val="2E74B5"/>
                <w:sz w:val="19"/>
              </w:rPr>
              <w:t>①</w:t>
            </w:r>
          </w:p>
        </w:tc>
        <w:tc>
          <w:tcPr>
            <w:tcW w:type="dxa" w:w="2154"/>
            <w:shd w:val="clear" w:color="auto" w:fill="F7F9FC"/>
          </w:tcPr>
          <w:p>
            <w:pPr>
              <w:spacing w:before="60" w:after="60"/>
            </w:pPr>
            <w:r>
              <w:rPr>
                <w:b/>
                <w:color w:val="1F3564"/>
                <w:sz w:val="19"/>
              </w:rPr>
              <w:t>Developer</w:t>
            </w:r>
          </w:p>
        </w:tc>
        <w:tc>
          <w:tcPr>
            <w:tcW w:type="dxa" w:w="6973"/>
            <w:shd w:val="clear" w:color="auto" w:fill="F7F9FC"/>
          </w:tcPr>
          <w:p>
            <w:pPr>
              <w:spacing w:before="60" w:after="60"/>
            </w:pPr>
            <w:r>
              <w:rPr>
                <w:sz w:val="19"/>
              </w:rPr>
              <w:t>Writes code change in GitHub. Opens a Pull Request (PR) for peer review. Team reviews and approves.</w:t>
            </w:r>
          </w:p>
        </w:tc>
      </w:tr>
      <w:tr>
        <w:tc>
          <w:tcPr>
            <w:tcW w:type="dxa" w:w="737"/>
            <w:shd w:val="clear" w:color="auto" w:fill="FFFFFF"/>
          </w:tcPr>
          <w:p>
            <w:pPr>
              <w:spacing w:before="60" w:after="60"/>
              <w:jc w:val="center"/>
            </w:pPr>
            <w:r>
              <w:rPr>
                <w:b/>
                <w:color w:val="2E74B5"/>
                <w:sz w:val="19"/>
              </w:rPr>
              <w:t>②</w:t>
            </w:r>
          </w:p>
        </w:tc>
        <w:tc>
          <w:tcPr>
            <w:tcW w:type="dxa" w:w="2154"/>
            <w:shd w:val="clear" w:color="auto" w:fill="FFFFFF"/>
          </w:tcPr>
          <w:p>
            <w:pPr>
              <w:spacing w:before="60" w:after="60"/>
            </w:pPr>
            <w:r>
              <w:rPr>
                <w:b/>
                <w:color w:val="1F3564"/>
                <w:sz w:val="19"/>
              </w:rPr>
              <w:t>GitHub</w:t>
            </w:r>
          </w:p>
        </w:tc>
        <w:tc>
          <w:tcPr>
            <w:tcW w:type="dxa" w:w="6973"/>
            <w:shd w:val="clear" w:color="auto" w:fill="FFFFFF"/>
          </w:tcPr>
          <w:p>
            <w:pPr>
              <w:spacing w:before="60" w:after="60"/>
            </w:pPr>
            <w:r>
              <w:rPr>
                <w:sz w:val="19"/>
              </w:rPr>
              <w:t>On PR merge, GitHub sends a webhook to Jenkins at pmidc-builds.digit.org. Jenkins detects the change automatically.</w:t>
            </w:r>
          </w:p>
        </w:tc>
      </w:tr>
      <w:tr>
        <w:tc>
          <w:tcPr>
            <w:tcW w:type="dxa" w:w="737"/>
            <w:shd w:val="clear" w:color="auto" w:fill="F7F9FC"/>
          </w:tcPr>
          <w:p>
            <w:pPr>
              <w:spacing w:before="60" w:after="60"/>
              <w:jc w:val="center"/>
            </w:pPr>
            <w:r>
              <w:rPr>
                <w:b/>
                <w:color w:val="2E74B5"/>
                <w:sz w:val="19"/>
              </w:rPr>
              <w:t>③</w:t>
            </w:r>
          </w:p>
        </w:tc>
        <w:tc>
          <w:tcPr>
            <w:tcW w:type="dxa" w:w="2154"/>
            <w:shd w:val="clear" w:color="auto" w:fill="F7F9FC"/>
          </w:tcPr>
          <w:p>
            <w:pPr>
              <w:spacing w:before="60" w:after="60"/>
            </w:pPr>
            <w:r>
              <w:rPr>
                <w:b/>
                <w:color w:val="1F3564"/>
                <w:sz w:val="19"/>
              </w:rPr>
              <w:t>Jenkins CI</w:t>
            </w:r>
          </w:p>
        </w:tc>
        <w:tc>
          <w:tcPr>
            <w:tcW w:type="dxa" w:w="6973"/>
            <w:shd w:val="clear" w:color="auto" w:fill="F7F9FC"/>
          </w:tcPr>
          <w:p>
            <w:pPr>
              <w:spacing w:before="60" w:after="60"/>
            </w:pPr>
            <w:r>
              <w:rPr>
                <w:sz w:val="19"/>
              </w:rPr>
              <w:t>Checks out the source code. Runs Maven build inside the maven-builder Docker container: mvn clean install — compiles code and runs unit tests.</w:t>
            </w:r>
          </w:p>
        </w:tc>
      </w:tr>
      <w:tr>
        <w:tc>
          <w:tcPr>
            <w:tcW w:type="dxa" w:w="737"/>
            <w:shd w:val="clear" w:color="auto" w:fill="FFFFFF"/>
          </w:tcPr>
          <w:p>
            <w:pPr>
              <w:spacing w:before="60" w:after="60"/>
              <w:jc w:val="center"/>
            </w:pPr>
            <w:r>
              <w:rPr>
                <w:b/>
                <w:color w:val="2E74B5"/>
                <w:sz w:val="19"/>
              </w:rPr>
              <w:t>④</w:t>
            </w:r>
          </w:p>
        </w:tc>
        <w:tc>
          <w:tcPr>
            <w:tcW w:type="dxa" w:w="2154"/>
            <w:shd w:val="clear" w:color="auto" w:fill="FFFFFF"/>
          </w:tcPr>
          <w:p>
            <w:pPr>
              <w:spacing w:before="60" w:after="60"/>
            </w:pPr>
            <w:r>
              <w:rPr>
                <w:b/>
                <w:color w:val="1F3564"/>
                <w:sz w:val="19"/>
              </w:rPr>
              <w:t>Jenkins CI</w:t>
            </w:r>
          </w:p>
        </w:tc>
        <w:tc>
          <w:tcPr>
            <w:tcW w:type="dxa" w:w="6973"/>
            <w:shd w:val="clear" w:color="auto" w:fill="FFFFFF"/>
          </w:tcPr>
          <w:p>
            <w:pPr>
              <w:spacing w:before="60" w:after="60"/>
            </w:pPr>
            <w:r>
              <w:rPr>
                <w:sz w:val="19"/>
              </w:rPr>
              <w:t>Runs: docker build -t pmidcio/&lt;service-name&gt;:&lt;git-sha&gt;  — packages compiled code into a Docker image for the SDC private registry.</w:t>
            </w:r>
          </w:p>
        </w:tc>
      </w:tr>
      <w:tr>
        <w:tc>
          <w:tcPr>
            <w:tcW w:type="dxa" w:w="737"/>
            <w:shd w:val="clear" w:color="auto" w:fill="F7F9FC"/>
          </w:tcPr>
          <w:p>
            <w:pPr>
              <w:spacing w:before="60" w:after="60"/>
              <w:jc w:val="center"/>
            </w:pPr>
            <w:r>
              <w:rPr>
                <w:b/>
                <w:color w:val="2E74B5"/>
                <w:sz w:val="19"/>
              </w:rPr>
              <w:t>⑤</w:t>
            </w:r>
          </w:p>
        </w:tc>
        <w:tc>
          <w:tcPr>
            <w:tcW w:type="dxa" w:w="2154"/>
            <w:shd w:val="clear" w:color="auto" w:fill="F7F9FC"/>
          </w:tcPr>
          <w:p>
            <w:pPr>
              <w:spacing w:before="60" w:after="60"/>
            </w:pPr>
            <w:r>
              <w:rPr>
                <w:b/>
                <w:color w:val="1F3564"/>
                <w:sz w:val="19"/>
              </w:rPr>
              <w:t>Jenkins CI</w:t>
            </w:r>
          </w:p>
        </w:tc>
        <w:tc>
          <w:tcPr>
            <w:tcW w:type="dxa" w:w="6973"/>
            <w:shd w:val="clear" w:color="auto" w:fill="F7F9FC"/>
          </w:tcPr>
          <w:p>
            <w:pPr>
              <w:spacing w:before="60" w:after="60"/>
            </w:pPr>
            <w:r>
              <w:rPr>
                <w:sz w:val="19"/>
              </w:rPr>
              <w:t>Runs: docker push pmidcio/&lt;service-name&gt;:&lt;git-sha&gt;  — uploads image to pmidcio private registry. Image is now ready for deployment to SDC.</w:t>
            </w:r>
          </w:p>
        </w:tc>
      </w:tr>
    </w:tbl>
    <w:p>
      <w:pPr>
        <w:spacing w:before="0" w:after="16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2E74B5"/>
          </w:tcPr>
          <w:p>
            <w:pPr>
              <w:spacing w:before="120" w:after="120"/>
            </w:pPr>
            <w:r>
              <w:rPr>
                <w:b/>
                <w:color w:val="FFFFFF"/>
                <w:sz w:val="26"/>
              </w:rPr>
              <w:t xml:space="preserve">  6.  How We Deploy to SDC  —  Release Pipeline</w:t>
            </w:r>
          </w:p>
        </w:tc>
      </w:tr>
    </w:tbl>
    <w:p>
      <w:pPr>
        <w:spacing w:before="0" w:after="100"/>
      </w:pPr>
    </w:p>
    <w:p>
      <w:pPr>
        <w:spacing w:after="160" w:before="0"/>
        <w:jc w:val="left"/>
      </w:pPr>
      <w:r>
        <w:rPr>
          <w:b w:val="0"/>
          <w:i w:val="0"/>
          <w:sz w:val="21"/>
        </w:rPr>
        <w:t>After an image is built, an authorized team member triggers a deployment job in Jenkins. The egov-deployer tool reads the SDC environment YAML, decrypts secrets, and applies changes to the Kubernetes cluster via Helm.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33"/>
        <w:gridCol w:w="1133"/>
        <w:gridCol w:w="1133"/>
        <w:gridCol w:w="1133"/>
        <w:gridCol w:w="1133"/>
        <w:gridCol w:w="1133"/>
        <w:gridCol w:w="1133"/>
        <w:gridCol w:w="1133"/>
        <w:gridCol w:w="1133"/>
      </w:tblGrid>
      <w:tr>
        <w:tc>
          <w:tcPr>
            <w:tcW w:type="dxa" w:w="1723"/>
            <w:shd w:val="clear" w:color="auto" w:fill="1E7A45"/>
            <w:vAlign w:val="center"/>
          </w:tcPr>
          <w:p>
            <w:pPr>
              <w:spacing w:before="140" w:after="140"/>
              <w:jc w:val="center"/>
            </w:pPr>
            <w:r>
              <w:rPr>
                <w:b/>
                <w:color w:val="FFFFFF"/>
                <w:sz w:val="18"/>
              </w:rPr>
              <w:t>① Authorized</w:t>
              <w:br/>
              <w:t>team triggers</w:t>
              <w:br/>
              <w:t>Jenkins job</w:t>
            </w:r>
          </w:p>
        </w:tc>
        <w:tc>
          <w:tcPr>
            <w:tcW w:type="dxa" w:w="312"/>
            <w:shd w:val="clear" w:color="auto" w:fill="FFFFFF"/>
            <w:vAlign w:val="center"/>
          </w:tcPr>
          <w:p>
            <w:pPr>
              <w:jc w:val="center"/>
            </w:pPr>
            <w:r>
              <w:rPr>
                <w:color w:val="808080"/>
                <w:sz w:val="28"/>
              </w:rPr>
              <w:t>→</w:t>
            </w:r>
          </w:p>
        </w:tc>
        <w:tc>
          <w:tcPr>
            <w:tcW w:type="dxa" w:w="1723"/>
            <w:shd w:val="clear" w:color="auto" w:fill="ED7D31"/>
            <w:vAlign w:val="center"/>
          </w:tcPr>
          <w:p>
            <w:pPr>
              <w:spacing w:before="140" w:after="140"/>
              <w:jc w:val="center"/>
            </w:pPr>
            <w:r>
              <w:rPr>
                <w:b/>
                <w:color w:val="FFFFFF"/>
                <w:sz w:val="18"/>
              </w:rPr>
              <w:t>② egov-deployer</w:t>
              <w:br/>
              <w:t>reads pb-sdc-prod</w:t>
              <w:br/>
              <w:t>.yaml config</w:t>
            </w:r>
          </w:p>
        </w:tc>
        <w:tc>
          <w:tcPr>
            <w:tcW w:type="dxa" w:w="312"/>
            <w:shd w:val="clear" w:color="auto" w:fill="FFFFFF"/>
            <w:vAlign w:val="center"/>
          </w:tcPr>
          <w:p>
            <w:pPr>
              <w:jc w:val="center"/>
            </w:pPr>
            <w:r>
              <w:rPr>
                <w:color w:val="808080"/>
                <w:sz w:val="28"/>
              </w:rPr>
              <w:t>→</w:t>
            </w:r>
          </w:p>
        </w:tc>
        <w:tc>
          <w:tcPr>
            <w:tcW w:type="dxa" w:w="1723"/>
            <w:shd w:val="clear" w:color="auto" w:fill="C00000"/>
            <w:vAlign w:val="center"/>
          </w:tcPr>
          <w:p>
            <w:pPr>
              <w:spacing w:before="140" w:after="140"/>
              <w:jc w:val="center"/>
            </w:pPr>
            <w:r>
              <w:rPr>
                <w:b/>
                <w:color w:val="FFFFFF"/>
                <w:sz w:val="18"/>
              </w:rPr>
              <w:t>③ SOPS decrypts</w:t>
              <w:br/>
              <w:t>secrets file</w:t>
              <w:br/>
              <w:t>(passwords/keys)</w:t>
            </w:r>
          </w:p>
        </w:tc>
        <w:tc>
          <w:tcPr>
            <w:tcW w:type="dxa" w:w="312"/>
            <w:shd w:val="clear" w:color="auto" w:fill="FFFFFF"/>
            <w:vAlign w:val="center"/>
          </w:tcPr>
          <w:p>
            <w:pPr>
              <w:jc w:val="center"/>
            </w:pPr>
            <w:r>
              <w:rPr>
                <w:color w:val="808080"/>
                <w:sz w:val="28"/>
              </w:rPr>
              <w:t>→</w:t>
            </w:r>
          </w:p>
        </w:tc>
        <w:tc>
          <w:tcPr>
            <w:tcW w:type="dxa" w:w="1723"/>
            <w:shd w:val="clear" w:color="auto" w:fill="2E74B5"/>
            <w:vAlign w:val="center"/>
          </w:tcPr>
          <w:p>
            <w:pPr>
              <w:spacing w:before="140" w:after="140"/>
              <w:jc w:val="center"/>
            </w:pPr>
            <w:r>
              <w:rPr>
                <w:b/>
                <w:color w:val="FFFFFF"/>
                <w:sz w:val="18"/>
              </w:rPr>
              <w:t>④ Helm applies</w:t>
              <w:br/>
              <w:t>to Kubernetes</w:t>
              <w:br/>
              <w:t>(SDC cluster)</w:t>
            </w:r>
          </w:p>
        </w:tc>
        <w:tc>
          <w:tcPr>
            <w:tcW w:type="dxa" w:w="312"/>
            <w:shd w:val="clear" w:color="auto" w:fill="FFFFFF"/>
            <w:vAlign w:val="center"/>
          </w:tcPr>
          <w:p>
            <w:pPr>
              <w:jc w:val="center"/>
            </w:pPr>
            <w:r>
              <w:rPr>
                <w:color w:val="808080"/>
                <w:sz w:val="28"/>
              </w:rPr>
              <w:t>→</w:t>
            </w:r>
          </w:p>
        </w:tc>
        <w:tc>
          <w:tcPr>
            <w:tcW w:type="dxa" w:w="1723"/>
            <w:shd w:val="clear" w:color="auto" w:fill="1F3564"/>
            <w:vAlign w:val="center"/>
          </w:tcPr>
          <w:p>
            <w:pPr>
              <w:spacing w:before="140" w:after="140"/>
              <w:jc w:val="center"/>
            </w:pPr>
            <w:r>
              <w:rPr>
                <w:b/>
                <w:color w:val="FFFFFF"/>
                <w:sz w:val="18"/>
              </w:rPr>
              <w:t>⑤ Pod starts:</w:t>
              <w:br/>
              <w:t>gitSync + Flyway</w:t>
              <w:br/>
              <w:t>→ service live</w:t>
            </w:r>
          </w:p>
        </w:tc>
      </w:tr>
    </w:tbl>
    <w:p>
      <w:pPr>
        <w:spacing w:before="0" w:after="0"/>
      </w:pPr>
    </w:p>
    <w:p>
      <w:pPr>
        <w:spacing w:before="0" w:after="1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737"/>
            <w:shd w:val="clear" w:color="auto" w:fill="2E74B5"/>
          </w:tcPr>
          <w:p>
            <w:pPr>
              <w:spacing w:before="60" w:after="60"/>
            </w:pPr>
            <w:r>
              <w:rPr>
                <w:b/>
                <w:color w:val="FFFFFF"/>
                <w:sz w:val="19"/>
              </w:rPr>
              <w:t>Step</w:t>
            </w:r>
          </w:p>
        </w:tc>
        <w:tc>
          <w:tcPr>
            <w:tcW w:type="dxa" w:w="2154"/>
            <w:shd w:val="clear" w:color="auto" w:fill="2E74B5"/>
          </w:tcPr>
          <w:p>
            <w:pPr>
              <w:spacing w:before="60" w:after="60"/>
            </w:pPr>
            <w:r>
              <w:rPr>
                <w:b/>
                <w:color w:val="FFFFFF"/>
                <w:sz w:val="19"/>
              </w:rPr>
              <w:t>Who</w:t>
            </w:r>
          </w:p>
        </w:tc>
        <w:tc>
          <w:tcPr>
            <w:tcW w:type="dxa" w:w="6973"/>
            <w:shd w:val="clear" w:color="auto" w:fill="2E74B5"/>
          </w:tcPr>
          <w:p>
            <w:pPr>
              <w:spacing w:before="60" w:after="60"/>
            </w:pPr>
            <w:r>
              <w:rPr>
                <w:b/>
                <w:color w:val="FFFFFF"/>
                <w:sz w:val="19"/>
              </w:rPr>
              <w:t>Action</w:t>
            </w:r>
          </w:p>
        </w:tc>
      </w:tr>
      <w:tr>
        <w:tc>
          <w:tcPr>
            <w:tcW w:type="dxa" w:w="737"/>
            <w:shd w:val="clear" w:color="auto" w:fill="F7F9FC"/>
          </w:tcPr>
          <w:p>
            <w:pPr>
              <w:spacing w:before="60" w:after="60"/>
              <w:jc w:val="center"/>
            </w:pPr>
            <w:r>
              <w:rPr>
                <w:b/>
                <w:color w:val="2E74B5"/>
                <w:sz w:val="19"/>
              </w:rPr>
              <w:t>①</w:t>
            </w:r>
          </w:p>
        </w:tc>
        <w:tc>
          <w:tcPr>
            <w:tcW w:type="dxa" w:w="2154"/>
            <w:shd w:val="clear" w:color="auto" w:fill="F7F9FC"/>
          </w:tcPr>
          <w:p>
            <w:pPr>
              <w:spacing w:before="60" w:after="60"/>
            </w:pPr>
            <w:r>
              <w:rPr>
                <w:b/>
                <w:color w:val="1F3564"/>
                <w:sz w:val="19"/>
              </w:rPr>
              <w:t>Team Lead / DevOps</w:t>
            </w:r>
          </w:p>
        </w:tc>
        <w:tc>
          <w:tcPr>
            <w:tcW w:type="dxa" w:w="6973"/>
            <w:shd w:val="clear" w:color="auto" w:fill="F7F9FC"/>
          </w:tcPr>
          <w:p>
            <w:pPr>
              <w:spacing w:before="60" w:after="60"/>
            </w:pPr>
            <w:r>
              <w:rPr>
                <w:sz w:val="19"/>
              </w:rPr>
              <w:t>Logs into Jenkins (pmidc-builds.digit.org). Selects the deployment job for the target SDC environment (pb-sdc-prod, pb-sdc-uat, or pb-sdc-dev). Only authorized team members can trigger production deploys.</w:t>
            </w:r>
          </w:p>
        </w:tc>
      </w:tr>
      <w:tr>
        <w:tc>
          <w:tcPr>
            <w:tcW w:type="dxa" w:w="737"/>
            <w:shd w:val="clear" w:color="auto" w:fill="FFFFFF"/>
          </w:tcPr>
          <w:p>
            <w:pPr>
              <w:spacing w:before="60" w:after="60"/>
              <w:jc w:val="center"/>
            </w:pPr>
            <w:r>
              <w:rPr>
                <w:b/>
                <w:color w:val="2E74B5"/>
                <w:sz w:val="19"/>
              </w:rPr>
              <w:t>②</w:t>
            </w:r>
          </w:p>
        </w:tc>
        <w:tc>
          <w:tcPr>
            <w:tcW w:type="dxa" w:w="2154"/>
            <w:shd w:val="clear" w:color="auto" w:fill="FFFFFF"/>
          </w:tcPr>
          <w:p>
            <w:pPr>
              <w:spacing w:before="60" w:after="60"/>
            </w:pPr>
            <w:r>
              <w:rPr>
                <w:b/>
                <w:color w:val="1F3564"/>
                <w:sz w:val="19"/>
              </w:rPr>
              <w:t>egov-deployer</w:t>
            </w:r>
          </w:p>
        </w:tc>
        <w:tc>
          <w:tcPr>
            <w:tcW w:type="dxa" w:w="6973"/>
            <w:shd w:val="clear" w:color="auto" w:fill="FFFFFF"/>
          </w:tcPr>
          <w:p>
            <w:pPr>
              <w:spacing w:before="60" w:after="60"/>
            </w:pPr>
            <w:r>
              <w:rPr>
                <w:sz w:val="19"/>
              </w:rPr>
              <w:t>Custom Go CLI tool reads helm/environments/pb-sdc-prod.yaml — this file contains all service configurations: replica counts, resource limits, DB URLs, Kafka brokers, ES hosts, Minio URL.</w:t>
            </w:r>
          </w:p>
        </w:tc>
      </w:tr>
      <w:tr>
        <w:tc>
          <w:tcPr>
            <w:tcW w:type="dxa" w:w="737"/>
            <w:shd w:val="clear" w:color="auto" w:fill="F7F9FC"/>
          </w:tcPr>
          <w:p>
            <w:pPr>
              <w:spacing w:before="60" w:after="60"/>
              <w:jc w:val="center"/>
            </w:pPr>
            <w:r>
              <w:rPr>
                <w:b/>
                <w:color w:val="2E74B5"/>
                <w:sz w:val="19"/>
              </w:rPr>
              <w:t>③</w:t>
            </w:r>
          </w:p>
        </w:tc>
        <w:tc>
          <w:tcPr>
            <w:tcW w:type="dxa" w:w="2154"/>
            <w:shd w:val="clear" w:color="auto" w:fill="F7F9FC"/>
          </w:tcPr>
          <w:p>
            <w:pPr>
              <w:spacing w:before="60" w:after="60"/>
            </w:pPr>
            <w:r>
              <w:rPr>
                <w:b/>
                <w:color w:val="1F3564"/>
                <w:sz w:val="19"/>
              </w:rPr>
              <w:t>SOPS + Keys</w:t>
            </w:r>
          </w:p>
        </w:tc>
        <w:tc>
          <w:tcPr>
            <w:tcW w:type="dxa" w:w="6973"/>
            <w:shd w:val="clear" w:color="auto" w:fill="F7F9FC"/>
          </w:tcPr>
          <w:p>
            <w:pPr>
              <w:spacing w:before="60" w:after="60"/>
            </w:pPr>
            <w:r>
              <w:rPr>
                <w:sz w:val="19"/>
              </w:rPr>
              <w:t>Automatically decrypts helm/environments/pb-sdc-prod-secrets.yaml. This file contains encrypted DB passwords, SMS credentials, API keys. No human sees plaintext at any point.</w:t>
            </w:r>
          </w:p>
        </w:tc>
      </w:tr>
      <w:tr>
        <w:tc>
          <w:tcPr>
            <w:tcW w:type="dxa" w:w="737"/>
            <w:shd w:val="clear" w:color="auto" w:fill="FFFFFF"/>
          </w:tcPr>
          <w:p>
            <w:pPr>
              <w:spacing w:before="60" w:after="60"/>
              <w:jc w:val="center"/>
            </w:pPr>
            <w:r>
              <w:rPr>
                <w:b/>
                <w:color w:val="2E74B5"/>
                <w:sz w:val="19"/>
              </w:rPr>
              <w:t>④</w:t>
            </w:r>
          </w:p>
        </w:tc>
        <w:tc>
          <w:tcPr>
            <w:tcW w:type="dxa" w:w="2154"/>
            <w:shd w:val="clear" w:color="auto" w:fill="FFFFFF"/>
          </w:tcPr>
          <w:p>
            <w:pPr>
              <w:spacing w:before="60" w:after="60"/>
            </w:pPr>
            <w:r>
              <w:rPr>
                <w:b/>
                <w:color w:val="1F3564"/>
                <w:sz w:val="19"/>
              </w:rPr>
              <w:t>Helm + Kubernetes</w:t>
            </w:r>
          </w:p>
        </w:tc>
        <w:tc>
          <w:tcPr>
            <w:tcW w:type="dxa" w:w="6973"/>
            <w:shd w:val="clear" w:color="auto" w:fill="FFFFFF"/>
          </w:tcPr>
          <w:p>
            <w:pPr>
              <w:spacing w:before="60" w:after="60"/>
            </w:pPr>
            <w:r>
              <w:rPr>
                <w:sz w:val="19"/>
              </w:rPr>
              <w:t>Runs helm upgrade --install for each service. Kubernetes performs a rolling update — new pods start before old ones stop. Service stays available throughout the update.</w:t>
            </w:r>
          </w:p>
        </w:tc>
      </w:tr>
      <w:tr>
        <w:tc>
          <w:tcPr>
            <w:tcW w:type="dxa" w:w="737"/>
            <w:shd w:val="clear" w:color="auto" w:fill="F7F9FC"/>
          </w:tcPr>
          <w:p>
            <w:pPr>
              <w:spacing w:before="60" w:after="60"/>
              <w:jc w:val="center"/>
            </w:pPr>
            <w:r>
              <w:rPr>
                <w:b/>
                <w:color w:val="2E74B5"/>
                <w:sz w:val="19"/>
              </w:rPr>
              <w:t>⑤a</w:t>
            </w:r>
          </w:p>
        </w:tc>
        <w:tc>
          <w:tcPr>
            <w:tcW w:type="dxa" w:w="2154"/>
            <w:shd w:val="clear" w:color="auto" w:fill="F7F9FC"/>
          </w:tcPr>
          <w:p>
            <w:pPr>
              <w:spacing w:before="60" w:after="60"/>
            </w:pPr>
            <w:r>
              <w:rPr>
                <w:b/>
                <w:color w:val="1F3564"/>
                <w:sz w:val="19"/>
              </w:rPr>
              <w:t>Pod (gitSync)</w:t>
            </w:r>
          </w:p>
        </w:tc>
        <w:tc>
          <w:tcPr>
            <w:tcW w:type="dxa" w:w="6973"/>
            <w:shd w:val="clear" w:color="auto" w:fill="F7F9FC"/>
          </w:tcPr>
          <w:p>
            <w:pPr>
              <w:spacing w:before="60" w:after="60"/>
            </w:pPr>
            <w:r>
              <w:rPr>
                <w:sz w:val="19"/>
              </w:rPr>
              <w:t>Init container #1: Clones punjab-rainmaker-customization (branch PROD_V2) from GitHub into /work-dir/. Config files (persister, indexer, MDMS rules) are loaded from this clone.</w:t>
            </w:r>
          </w:p>
        </w:tc>
      </w:tr>
      <w:tr>
        <w:tc>
          <w:tcPr>
            <w:tcW w:type="dxa" w:w="737"/>
            <w:shd w:val="clear" w:color="auto" w:fill="FFFFFF"/>
          </w:tcPr>
          <w:p>
            <w:pPr>
              <w:spacing w:before="60" w:after="60"/>
              <w:jc w:val="center"/>
            </w:pPr>
            <w:r>
              <w:rPr>
                <w:b/>
                <w:color w:val="2E74B5"/>
                <w:sz w:val="19"/>
              </w:rPr>
              <w:t>⑤b</w:t>
            </w:r>
          </w:p>
        </w:tc>
        <w:tc>
          <w:tcPr>
            <w:tcW w:type="dxa" w:w="2154"/>
            <w:shd w:val="clear" w:color="auto" w:fill="FFFFFF"/>
          </w:tcPr>
          <w:p>
            <w:pPr>
              <w:spacing w:before="60" w:after="60"/>
            </w:pPr>
            <w:r>
              <w:rPr>
                <w:b/>
                <w:color w:val="1F3564"/>
                <w:sz w:val="19"/>
              </w:rPr>
              <w:t>Pod (Flyway)</w:t>
            </w:r>
          </w:p>
        </w:tc>
        <w:tc>
          <w:tcPr>
            <w:tcW w:type="dxa" w:w="6973"/>
            <w:shd w:val="clear" w:color="auto" w:fill="FFFFFF"/>
          </w:tcPr>
          <w:p>
            <w:pPr>
              <w:spacing w:before="60" w:after="60"/>
            </w:pPr>
            <w:r>
              <w:rPr>
                <w:sz w:val="19"/>
              </w:rPr>
              <w:t>Init container #2: Applies any new SQL database migration scripts to PostgreSQL at 10.44.242.67:5432. No manual SQL execution needed by the DBA team.</w:t>
            </w:r>
          </w:p>
        </w:tc>
      </w:tr>
      <w:tr>
        <w:tc>
          <w:tcPr>
            <w:tcW w:type="dxa" w:w="737"/>
            <w:shd w:val="clear" w:color="auto" w:fill="F7F9FC"/>
          </w:tcPr>
          <w:p>
            <w:pPr>
              <w:spacing w:before="60" w:after="60"/>
              <w:jc w:val="center"/>
            </w:pPr>
            <w:r>
              <w:rPr>
                <w:b/>
                <w:color w:val="2E74B5"/>
                <w:sz w:val="19"/>
              </w:rPr>
              <w:t>⑤c</w:t>
            </w:r>
          </w:p>
        </w:tc>
        <w:tc>
          <w:tcPr>
            <w:tcW w:type="dxa" w:w="2154"/>
            <w:shd w:val="clear" w:color="auto" w:fill="F7F9FC"/>
          </w:tcPr>
          <w:p>
            <w:pPr>
              <w:spacing w:before="60" w:after="60"/>
            </w:pPr>
            <w:r>
              <w:rPr>
                <w:b/>
                <w:color w:val="1F3564"/>
                <w:sz w:val="19"/>
              </w:rPr>
              <w:t>Pod (App)</w:t>
            </w:r>
          </w:p>
        </w:tc>
        <w:tc>
          <w:tcPr>
            <w:tcW w:type="dxa" w:w="6973"/>
            <w:shd w:val="clear" w:color="auto" w:fill="F7F9FC"/>
          </w:tcPr>
          <w:p>
            <w:pPr>
              <w:spacing w:before="60" w:after="60"/>
            </w:pPr>
            <w:r>
              <w:rPr>
                <w:sz w:val="19"/>
              </w:rPr>
              <w:t>Main Spring Boot container starts on port 8080. Kubernetes health-checks it every few seconds. Once healthy, traffic is shifted to the new pod. Old pod receives a 10-second graceful shutdown signal.</w:t>
            </w:r>
          </w:p>
        </w:tc>
      </w:tr>
    </w:tbl>
    <w:p>
      <w:pPr>
        <w:spacing w:before="0" w:after="160"/>
      </w:pP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550"/>
        <w:gridCol w:w="2550"/>
        <w:gridCol w:w="2550"/>
        <w:gridCol w:w="2550"/>
      </w:tblGrid>
      <w:tr>
        <w:tc>
          <w:tcPr>
            <w:tcW w:type="dxa" w:w="2466"/>
            <w:shd w:val="clear" w:color="auto" w:fill="1F3564"/>
            <w:vAlign w:val="center"/>
          </w:tcPr>
          <w:p>
            <w:pPr>
              <w:spacing w:before="120" w:after="120"/>
              <w:jc w:val="center"/>
            </w:pPr>
            <w:r>
              <w:rPr>
                <w:b/>
                <w:color w:val="FFFFFF"/>
                <w:sz w:val="19"/>
              </w:rPr>
              <w:t>STEP 1</w:t>
              <w:br/>
              <w:t>gitSync Init Container</w:t>
              <w:br/>
              <w:t>Clone PROD_V2 config</w:t>
              <w:br/>
              <w:t>from GitHub → /work-dir/</w:t>
            </w:r>
          </w:p>
        </w:tc>
        <w:tc>
          <w:tcPr>
            <w:tcW w:type="dxa" w:w="2466"/>
            <w:shd w:val="clear" w:color="auto" w:fill="005060"/>
            <w:vAlign w:val="center"/>
          </w:tcPr>
          <w:p>
            <w:pPr>
              <w:spacing w:before="120" w:after="120"/>
              <w:jc w:val="center"/>
            </w:pPr>
            <w:r>
              <w:rPr>
                <w:b/>
                <w:color w:val="FFFFFF"/>
                <w:sz w:val="19"/>
              </w:rPr>
              <w:t>STEP 2</w:t>
              <w:br/>
              <w:t>Flyway Init Container</w:t>
              <w:br/>
              <w:t>Run DB migrations</w:t>
              <w:br/>
              <w:t>on PostgreSQL</w:t>
            </w:r>
          </w:p>
        </w:tc>
        <w:tc>
          <w:tcPr>
            <w:tcW w:type="dxa" w:w="2466"/>
            <w:shd w:val="clear" w:color="auto" w:fill="2E74B5"/>
            <w:vAlign w:val="center"/>
          </w:tcPr>
          <w:p>
            <w:pPr>
              <w:spacing w:before="120" w:after="120"/>
              <w:jc w:val="center"/>
            </w:pPr>
            <w:r>
              <w:rPr>
                <w:b/>
                <w:color w:val="FFFFFF"/>
                <w:sz w:val="19"/>
              </w:rPr>
              <w:t>STEP 3</w:t>
              <w:br/>
              <w:t>Spring Boot App</w:t>
              <w:br/>
              <w:t>Start service</w:t>
              <w:br/>
              <w:t>on port 8080</w:t>
            </w:r>
          </w:p>
        </w:tc>
        <w:tc>
          <w:tcPr>
            <w:tcW w:type="dxa" w:w="2466"/>
            <w:shd w:val="clear" w:color="auto" w:fill="1E7A45"/>
            <w:vAlign w:val="center"/>
          </w:tcPr>
          <w:p>
            <w:pPr>
              <w:spacing w:before="120" w:after="120"/>
              <w:jc w:val="center"/>
            </w:pPr>
            <w:r>
              <w:rPr>
                <w:b/>
                <w:color w:val="FFFFFF"/>
                <w:sz w:val="19"/>
              </w:rPr>
              <w:t>STEP 4</w:t>
              <w:br/>
              <w:t>Health Check</w:t>
              <w:br/>
              <w:t>K8s readiness probe</w:t>
              <w:br/>
              <w:t>Traffic switches over</w:t>
            </w:r>
          </w:p>
        </w:tc>
      </w:tr>
    </w:tbl>
    <w:p>
      <w:pPr>
        <w:spacing w:before="0" w:after="0"/>
      </w:pPr>
    </w:p>
    <w:p>
      <w:pPr>
        <w:spacing w:before="0" w:after="16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007987"/>
          </w:tcPr>
          <w:p>
            <w:pPr>
              <w:spacing w:before="120" w:after="120"/>
            </w:pPr>
            <w:r>
              <w:rPr>
                <w:b/>
                <w:color w:val="FFFFFF"/>
                <w:sz w:val="26"/>
              </w:rPr>
              <w:t xml:space="preserve">  7.  Step-by-Step: How to Make Different Types of Changes</w:t>
            </w:r>
          </w:p>
        </w:tc>
      </w:tr>
    </w:tbl>
    <w:p>
      <w:pPr>
        <w:spacing w:before="0" w:after="100"/>
      </w:pPr>
    </w:p>
    <w:p>
      <w:pPr>
        <w:spacing w:before="0" w:after="8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007987"/>
            <w:vAlign w:val="center"/>
          </w:tcPr>
          <w:p>
            <w:pPr>
              <w:spacing w:before="120" w:after="120"/>
              <w:jc w:val="center"/>
            </w:pPr>
            <w:r>
              <w:rPr>
                <w:b/>
                <w:color w:val="FFFFFF"/>
                <w:sz w:val="22"/>
              </w:rPr>
              <w:t>A.  Configuration Change  —  e.g. increase replicas, change a URL, update a memory limit</w:t>
            </w:r>
          </w:p>
        </w:tc>
      </w:tr>
    </w:tbl>
    <w:p>
      <w:pPr>
        <w:spacing w:before="0" w:after="0"/>
      </w:pPr>
    </w:p>
    <w:p>
      <w:pPr>
        <w:spacing w:before="0" w:after="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737"/>
            <w:shd w:val="clear" w:color="auto" w:fill="007987"/>
          </w:tcPr>
          <w:p>
            <w:pPr>
              <w:spacing w:before="60" w:after="60"/>
            </w:pPr>
            <w:r>
              <w:rPr>
                <w:b/>
                <w:color w:val="FFFFFF"/>
                <w:sz w:val="19"/>
              </w:rPr>
              <w:t>Step</w:t>
            </w:r>
          </w:p>
        </w:tc>
        <w:tc>
          <w:tcPr>
            <w:tcW w:type="dxa" w:w="2154"/>
            <w:shd w:val="clear" w:color="auto" w:fill="007987"/>
          </w:tcPr>
          <w:p>
            <w:pPr>
              <w:spacing w:before="60" w:after="60"/>
            </w:pPr>
            <w:r>
              <w:rPr>
                <w:b/>
                <w:color w:val="FFFFFF"/>
                <w:sz w:val="19"/>
              </w:rPr>
              <w:t>Who</w:t>
            </w:r>
          </w:p>
        </w:tc>
        <w:tc>
          <w:tcPr>
            <w:tcW w:type="dxa" w:w="6973"/>
            <w:shd w:val="clear" w:color="auto" w:fill="007987"/>
          </w:tcPr>
          <w:p>
            <w:pPr>
              <w:spacing w:before="60" w:after="60"/>
            </w:pPr>
            <w:r>
              <w:rPr>
                <w:b/>
                <w:color w:val="FFFFFF"/>
                <w:sz w:val="19"/>
              </w:rPr>
              <w:t>Action</w:t>
            </w:r>
          </w:p>
        </w:tc>
      </w:tr>
      <w:tr>
        <w:tc>
          <w:tcPr>
            <w:tcW w:type="dxa" w:w="737"/>
            <w:shd w:val="clear" w:color="auto" w:fill="F7F9FC"/>
          </w:tcPr>
          <w:p>
            <w:pPr>
              <w:spacing w:before="60" w:after="60"/>
              <w:jc w:val="center"/>
            </w:pPr>
            <w:r>
              <w:rPr>
                <w:b/>
                <w:color w:val="2E74B5"/>
                <w:sz w:val="19"/>
              </w:rPr>
              <w:t>1</w:t>
            </w:r>
          </w:p>
        </w:tc>
        <w:tc>
          <w:tcPr>
            <w:tcW w:type="dxa" w:w="2154"/>
            <w:shd w:val="clear" w:color="auto" w:fill="F7F9FC"/>
          </w:tcPr>
          <w:p>
            <w:pPr>
              <w:spacing w:before="60" w:after="60"/>
            </w:pPr>
            <w:r>
              <w:rPr>
                <w:b/>
                <w:color w:val="1F3564"/>
                <w:sz w:val="19"/>
              </w:rPr>
              <w:t>Anyone</w:t>
            </w:r>
          </w:p>
        </w:tc>
        <w:tc>
          <w:tcPr>
            <w:tcW w:type="dxa" w:w="6973"/>
            <w:shd w:val="clear" w:color="auto" w:fill="F7F9FC"/>
          </w:tcPr>
          <w:p>
            <w:pPr>
              <w:spacing w:before="60" w:after="60"/>
            </w:pPr>
            <w:r>
              <w:rPr>
                <w:sz w:val="19"/>
              </w:rPr>
              <w:t>Open helm/environments/pb-sdc-prod.yaml (or pb-sdc-uat.yaml) in GitHub.</w:t>
            </w:r>
          </w:p>
        </w:tc>
      </w:tr>
      <w:tr>
        <w:tc>
          <w:tcPr>
            <w:tcW w:type="dxa" w:w="737"/>
            <w:shd w:val="clear" w:color="auto" w:fill="FFFFFF"/>
          </w:tcPr>
          <w:p>
            <w:pPr>
              <w:spacing w:before="60" w:after="60"/>
              <w:jc w:val="center"/>
            </w:pPr>
            <w:r>
              <w:rPr>
                <w:b/>
                <w:color w:val="2E74B5"/>
                <w:sz w:val="19"/>
              </w:rPr>
              <w:t>2</w:t>
            </w:r>
          </w:p>
        </w:tc>
        <w:tc>
          <w:tcPr>
            <w:tcW w:type="dxa" w:w="2154"/>
            <w:shd w:val="clear" w:color="auto" w:fill="FFFFFF"/>
          </w:tcPr>
          <w:p>
            <w:pPr>
              <w:spacing w:before="60" w:after="60"/>
            </w:pPr>
            <w:r>
              <w:rPr>
                <w:b/>
                <w:color w:val="1F3564"/>
                <w:sz w:val="19"/>
              </w:rPr>
              <w:t>Developer</w:t>
            </w:r>
          </w:p>
        </w:tc>
        <w:tc>
          <w:tcPr>
            <w:tcW w:type="dxa" w:w="6973"/>
            <w:shd w:val="clear" w:color="auto" w:fill="FFFFFF"/>
          </w:tcPr>
          <w:p>
            <w:pPr>
              <w:spacing w:before="60" w:after="60"/>
            </w:pPr>
            <w:r>
              <w:rPr>
                <w:sz w:val="19"/>
              </w:rPr>
              <w:t>Edit the value — e.g. change replicas: 5 to replicas: 7 for billing-service, or update a DB URL.</w:t>
            </w:r>
          </w:p>
        </w:tc>
      </w:tr>
      <w:tr>
        <w:tc>
          <w:tcPr>
            <w:tcW w:type="dxa" w:w="737"/>
            <w:shd w:val="clear" w:color="auto" w:fill="F7F9FC"/>
          </w:tcPr>
          <w:p>
            <w:pPr>
              <w:spacing w:before="60" w:after="60"/>
              <w:jc w:val="center"/>
            </w:pPr>
            <w:r>
              <w:rPr>
                <w:b/>
                <w:color w:val="2E74B5"/>
                <w:sz w:val="19"/>
              </w:rPr>
              <w:t>3</w:t>
            </w:r>
          </w:p>
        </w:tc>
        <w:tc>
          <w:tcPr>
            <w:tcW w:type="dxa" w:w="2154"/>
            <w:shd w:val="clear" w:color="auto" w:fill="F7F9FC"/>
          </w:tcPr>
          <w:p>
            <w:pPr>
              <w:spacing w:before="60" w:after="60"/>
            </w:pPr>
            <w:r>
              <w:rPr>
                <w:b/>
                <w:color w:val="1F3564"/>
                <w:sz w:val="19"/>
              </w:rPr>
              <w:t>Team Lead</w:t>
            </w:r>
          </w:p>
        </w:tc>
        <w:tc>
          <w:tcPr>
            <w:tcW w:type="dxa" w:w="6973"/>
            <w:shd w:val="clear" w:color="auto" w:fill="F7F9FC"/>
          </w:tcPr>
          <w:p>
            <w:pPr>
              <w:spacing w:before="60" w:after="60"/>
            </w:pPr>
            <w:r>
              <w:rPr>
                <w:sz w:val="19"/>
              </w:rPr>
              <w:t>Raise a Pull Request. At least one reviewer approves. For production changes, get team lead sign-off.</w:t>
            </w:r>
          </w:p>
        </w:tc>
      </w:tr>
      <w:tr>
        <w:tc>
          <w:tcPr>
            <w:tcW w:type="dxa" w:w="737"/>
            <w:shd w:val="clear" w:color="auto" w:fill="FFFFFF"/>
          </w:tcPr>
          <w:p>
            <w:pPr>
              <w:spacing w:before="60" w:after="60"/>
              <w:jc w:val="center"/>
            </w:pPr>
            <w:r>
              <w:rPr>
                <w:b/>
                <w:color w:val="2E74B5"/>
                <w:sz w:val="19"/>
              </w:rPr>
              <w:t>4</w:t>
            </w:r>
          </w:p>
        </w:tc>
        <w:tc>
          <w:tcPr>
            <w:tcW w:type="dxa" w:w="2154"/>
            <w:shd w:val="clear" w:color="auto" w:fill="FFFFFF"/>
          </w:tcPr>
          <w:p>
            <w:pPr>
              <w:spacing w:before="60" w:after="60"/>
            </w:pPr>
            <w:r>
              <w:rPr>
                <w:b/>
                <w:color w:val="1F3564"/>
                <w:sz w:val="19"/>
              </w:rPr>
              <w:t>Team Lead</w:t>
            </w:r>
          </w:p>
        </w:tc>
        <w:tc>
          <w:tcPr>
            <w:tcW w:type="dxa" w:w="6973"/>
            <w:shd w:val="clear" w:color="auto" w:fill="FFFFFF"/>
          </w:tcPr>
          <w:p>
            <w:pPr>
              <w:spacing w:before="60" w:after="60"/>
            </w:pPr>
            <w:r>
              <w:rPr>
                <w:sz w:val="19"/>
              </w:rPr>
              <w:t>Merge the PR to the punjab-prod branch in the punjab-InfraOps repository.</w:t>
            </w:r>
          </w:p>
        </w:tc>
      </w:tr>
      <w:tr>
        <w:tc>
          <w:tcPr>
            <w:tcW w:type="dxa" w:w="737"/>
            <w:shd w:val="clear" w:color="auto" w:fill="F7F9FC"/>
          </w:tcPr>
          <w:p>
            <w:pPr>
              <w:spacing w:before="60" w:after="60"/>
              <w:jc w:val="center"/>
            </w:pPr>
            <w:r>
              <w:rPr>
                <w:b/>
                <w:color w:val="2E74B5"/>
                <w:sz w:val="19"/>
              </w:rPr>
              <w:t>5</w:t>
            </w:r>
          </w:p>
        </w:tc>
        <w:tc>
          <w:tcPr>
            <w:tcW w:type="dxa" w:w="2154"/>
            <w:shd w:val="clear" w:color="auto" w:fill="F7F9FC"/>
          </w:tcPr>
          <w:p>
            <w:pPr>
              <w:spacing w:before="60" w:after="60"/>
            </w:pPr>
            <w:r>
              <w:rPr>
                <w:b/>
                <w:color w:val="1F3564"/>
                <w:sz w:val="19"/>
              </w:rPr>
              <w:t>DevOps / Jenkins</w:t>
            </w:r>
          </w:p>
        </w:tc>
        <w:tc>
          <w:tcPr>
            <w:tcW w:type="dxa" w:w="6973"/>
            <w:shd w:val="clear" w:color="auto" w:fill="F7F9FC"/>
          </w:tcPr>
          <w:p>
            <w:pPr>
              <w:spacing w:before="60" w:after="60"/>
            </w:pPr>
            <w:r>
              <w:rPr>
                <w:sz w:val="19"/>
              </w:rPr>
              <w:t>Trigger the deployment job in Jenkins for the target environment. egov-deployer reads the updated YAML and applies via Helm.</w:t>
            </w:r>
          </w:p>
        </w:tc>
      </w:tr>
      <w:tr>
        <w:tc>
          <w:tcPr>
            <w:tcW w:type="dxa" w:w="737"/>
            <w:shd w:val="clear" w:color="auto" w:fill="FFFFFF"/>
          </w:tcPr>
          <w:p>
            <w:pPr>
              <w:spacing w:before="60" w:after="60"/>
              <w:jc w:val="center"/>
            </w:pPr>
            <w:r>
              <w:rPr>
                <w:b/>
                <w:color w:val="2E74B5"/>
                <w:sz w:val="19"/>
              </w:rPr>
              <w:t>6</w:t>
            </w:r>
          </w:p>
        </w:tc>
        <w:tc>
          <w:tcPr>
            <w:tcW w:type="dxa" w:w="2154"/>
            <w:shd w:val="clear" w:color="auto" w:fill="FFFFFF"/>
          </w:tcPr>
          <w:p>
            <w:pPr>
              <w:spacing w:before="60" w:after="60"/>
            </w:pPr>
            <w:r>
              <w:rPr>
                <w:b/>
                <w:color w:val="1F3564"/>
                <w:sz w:val="19"/>
              </w:rPr>
              <w:t>Kubernetes</w:t>
            </w:r>
          </w:p>
        </w:tc>
        <w:tc>
          <w:tcPr>
            <w:tcW w:type="dxa" w:w="6973"/>
            <w:shd w:val="clear" w:color="auto" w:fill="FFFFFF"/>
          </w:tcPr>
          <w:p>
            <w:pPr>
              <w:spacing w:before="60" w:after="60"/>
            </w:pPr>
            <w:r>
              <w:rPr>
                <w:sz w:val="19"/>
              </w:rPr>
              <w:t>Kubernetes performs a rolling restart of the affected service with the new configuration. No downtime — pods restart one at a time.</w:t>
            </w:r>
          </w:p>
        </w:tc>
      </w:tr>
    </w:tbl>
    <w:p>
      <w:pPr>
        <w:spacing w:before="0" w:after="1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2E74B5"/>
            <w:vAlign w:val="center"/>
          </w:tcPr>
          <w:p>
            <w:pPr>
              <w:spacing w:before="120" w:after="120"/>
              <w:jc w:val="center"/>
            </w:pPr>
            <w:r>
              <w:rPr>
                <w:b/>
                <w:color w:val="FFFFFF"/>
                <w:sz w:val="22"/>
              </w:rPr>
              <w:t>B.  Deploy a New Service Version  —  e.g. new feature in property tax service</w:t>
            </w:r>
          </w:p>
        </w:tc>
      </w:tr>
    </w:tbl>
    <w:p>
      <w:pPr>
        <w:spacing w:before="0" w:after="0"/>
      </w:pPr>
    </w:p>
    <w:p>
      <w:pPr>
        <w:spacing w:before="0" w:after="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737"/>
            <w:shd w:val="clear" w:color="auto" w:fill="2E74B5"/>
          </w:tcPr>
          <w:p>
            <w:pPr>
              <w:spacing w:before="60" w:after="60"/>
            </w:pPr>
            <w:r>
              <w:rPr>
                <w:b/>
                <w:color w:val="FFFFFF"/>
                <w:sz w:val="19"/>
              </w:rPr>
              <w:t>Step</w:t>
            </w:r>
          </w:p>
        </w:tc>
        <w:tc>
          <w:tcPr>
            <w:tcW w:type="dxa" w:w="2154"/>
            <w:shd w:val="clear" w:color="auto" w:fill="2E74B5"/>
          </w:tcPr>
          <w:p>
            <w:pPr>
              <w:spacing w:before="60" w:after="60"/>
            </w:pPr>
            <w:r>
              <w:rPr>
                <w:b/>
                <w:color w:val="FFFFFF"/>
                <w:sz w:val="19"/>
              </w:rPr>
              <w:t>Who</w:t>
            </w:r>
          </w:p>
        </w:tc>
        <w:tc>
          <w:tcPr>
            <w:tcW w:type="dxa" w:w="6973"/>
            <w:shd w:val="clear" w:color="auto" w:fill="2E74B5"/>
          </w:tcPr>
          <w:p>
            <w:pPr>
              <w:spacing w:before="60" w:after="60"/>
            </w:pPr>
            <w:r>
              <w:rPr>
                <w:b/>
                <w:color w:val="FFFFFF"/>
                <w:sz w:val="19"/>
              </w:rPr>
              <w:t>Action</w:t>
            </w:r>
          </w:p>
        </w:tc>
      </w:tr>
      <w:tr>
        <w:tc>
          <w:tcPr>
            <w:tcW w:type="dxa" w:w="737"/>
            <w:shd w:val="clear" w:color="auto" w:fill="F7F9FC"/>
          </w:tcPr>
          <w:p>
            <w:pPr>
              <w:spacing w:before="60" w:after="60"/>
              <w:jc w:val="center"/>
            </w:pPr>
            <w:r>
              <w:rPr>
                <w:b/>
                <w:color w:val="2E74B5"/>
                <w:sz w:val="19"/>
              </w:rPr>
              <w:t>1</w:t>
            </w:r>
          </w:p>
        </w:tc>
        <w:tc>
          <w:tcPr>
            <w:tcW w:type="dxa" w:w="2154"/>
            <w:shd w:val="clear" w:color="auto" w:fill="F7F9FC"/>
          </w:tcPr>
          <w:p>
            <w:pPr>
              <w:spacing w:before="60" w:after="60"/>
            </w:pPr>
            <w:r>
              <w:rPr>
                <w:b/>
                <w:color w:val="1F3564"/>
                <w:sz w:val="19"/>
              </w:rPr>
              <w:t>Developer</w:t>
            </w:r>
          </w:p>
        </w:tc>
        <w:tc>
          <w:tcPr>
            <w:tcW w:type="dxa" w:w="6973"/>
            <w:shd w:val="clear" w:color="auto" w:fill="F7F9FC"/>
          </w:tcPr>
          <w:p>
            <w:pPr>
              <w:spacing w:before="60" w:after="60"/>
            </w:pPr>
            <w:r>
              <w:rPr>
                <w:sz w:val="19"/>
              </w:rPr>
              <w:t>Writes the feature in the service repository. Raises PR. Code review and approval by team.</w:t>
            </w:r>
          </w:p>
        </w:tc>
      </w:tr>
      <w:tr>
        <w:tc>
          <w:tcPr>
            <w:tcW w:type="dxa" w:w="737"/>
            <w:shd w:val="clear" w:color="auto" w:fill="FFFFFF"/>
          </w:tcPr>
          <w:p>
            <w:pPr>
              <w:spacing w:before="60" w:after="60"/>
              <w:jc w:val="center"/>
            </w:pPr>
            <w:r>
              <w:rPr>
                <w:b/>
                <w:color w:val="2E74B5"/>
                <w:sz w:val="19"/>
              </w:rPr>
              <w:t>2</w:t>
            </w:r>
          </w:p>
        </w:tc>
        <w:tc>
          <w:tcPr>
            <w:tcW w:type="dxa" w:w="2154"/>
            <w:shd w:val="clear" w:color="auto" w:fill="FFFFFF"/>
          </w:tcPr>
          <w:p>
            <w:pPr>
              <w:spacing w:before="60" w:after="60"/>
            </w:pPr>
            <w:r>
              <w:rPr>
                <w:b/>
                <w:color w:val="1F3564"/>
                <w:sz w:val="19"/>
              </w:rPr>
              <w:t>Jenkins (auto)</w:t>
            </w:r>
          </w:p>
        </w:tc>
        <w:tc>
          <w:tcPr>
            <w:tcW w:type="dxa" w:w="6973"/>
            <w:shd w:val="clear" w:color="auto" w:fill="FFFFFF"/>
          </w:tcPr>
          <w:p>
            <w:pPr>
              <w:spacing w:before="60" w:after="60"/>
            </w:pPr>
            <w:r>
              <w:rPr>
                <w:sz w:val="19"/>
              </w:rPr>
              <w:t>PR is merged. Jenkins automatically builds pmidcio/&lt;service&gt;:&lt;new-git-sha&gt; and pushes to pmidcio/ registry.</w:t>
            </w:r>
          </w:p>
        </w:tc>
      </w:tr>
      <w:tr>
        <w:tc>
          <w:tcPr>
            <w:tcW w:type="dxa" w:w="737"/>
            <w:shd w:val="clear" w:color="auto" w:fill="F7F9FC"/>
          </w:tcPr>
          <w:p>
            <w:pPr>
              <w:spacing w:before="60" w:after="60"/>
              <w:jc w:val="center"/>
            </w:pPr>
            <w:r>
              <w:rPr>
                <w:b/>
                <w:color w:val="2E74B5"/>
                <w:sz w:val="19"/>
              </w:rPr>
              <w:t>3</w:t>
            </w:r>
          </w:p>
        </w:tc>
        <w:tc>
          <w:tcPr>
            <w:tcW w:type="dxa" w:w="2154"/>
            <w:shd w:val="clear" w:color="auto" w:fill="F7F9FC"/>
          </w:tcPr>
          <w:p>
            <w:pPr>
              <w:spacing w:before="60" w:after="60"/>
            </w:pPr>
            <w:r>
              <w:rPr>
                <w:b/>
                <w:color w:val="1F3564"/>
                <w:sz w:val="19"/>
              </w:rPr>
              <w:t>QA Team</w:t>
            </w:r>
          </w:p>
        </w:tc>
        <w:tc>
          <w:tcPr>
            <w:tcW w:type="dxa" w:w="6973"/>
            <w:shd w:val="clear" w:color="auto" w:fill="F7F9FC"/>
          </w:tcPr>
          <w:p>
            <w:pPr>
              <w:spacing w:before="60" w:after="60"/>
            </w:pPr>
            <w:r>
              <w:rPr>
                <w:sz w:val="19"/>
              </w:rPr>
              <w:t>Trigger Jenkins deploy job for pb-sdc-dev. QA team tests on SDC Dev (mseva-dev.lgpunjab.gov.in).</w:t>
            </w:r>
          </w:p>
        </w:tc>
      </w:tr>
      <w:tr>
        <w:tc>
          <w:tcPr>
            <w:tcW w:type="dxa" w:w="737"/>
            <w:shd w:val="clear" w:color="auto" w:fill="FFFFFF"/>
          </w:tcPr>
          <w:p>
            <w:pPr>
              <w:spacing w:before="60" w:after="60"/>
              <w:jc w:val="center"/>
            </w:pPr>
            <w:r>
              <w:rPr>
                <w:b/>
                <w:color w:val="2E74B5"/>
                <w:sz w:val="19"/>
              </w:rPr>
              <w:t>4</w:t>
            </w:r>
          </w:p>
        </w:tc>
        <w:tc>
          <w:tcPr>
            <w:tcW w:type="dxa" w:w="2154"/>
            <w:shd w:val="clear" w:color="auto" w:fill="FFFFFF"/>
          </w:tcPr>
          <w:p>
            <w:pPr>
              <w:spacing w:before="60" w:after="60"/>
            </w:pPr>
            <w:r>
              <w:rPr>
                <w:b/>
                <w:color w:val="1F3564"/>
                <w:sz w:val="19"/>
              </w:rPr>
              <w:t>Business Team</w:t>
            </w:r>
          </w:p>
        </w:tc>
        <w:tc>
          <w:tcPr>
            <w:tcW w:type="dxa" w:w="6973"/>
            <w:shd w:val="clear" w:color="auto" w:fill="FFFFFF"/>
          </w:tcPr>
          <w:p>
            <w:pPr>
              <w:spacing w:before="60" w:after="60"/>
            </w:pPr>
            <w:r>
              <w:rPr>
                <w:sz w:val="19"/>
              </w:rPr>
              <w:t>If Dev testing passes: deploy to pb-sdc-uat. Business team validates the feature on sdc-uat.lgpunjab.gov.in.</w:t>
            </w:r>
          </w:p>
        </w:tc>
      </w:tr>
      <w:tr>
        <w:tc>
          <w:tcPr>
            <w:tcW w:type="dxa" w:w="737"/>
            <w:shd w:val="clear" w:color="auto" w:fill="F7F9FC"/>
          </w:tcPr>
          <w:p>
            <w:pPr>
              <w:spacing w:before="60" w:after="60"/>
              <w:jc w:val="center"/>
            </w:pPr>
            <w:r>
              <w:rPr>
                <w:b/>
                <w:color w:val="2E74B5"/>
                <w:sz w:val="19"/>
              </w:rPr>
              <w:t>5</w:t>
            </w:r>
          </w:p>
        </w:tc>
        <w:tc>
          <w:tcPr>
            <w:tcW w:type="dxa" w:w="2154"/>
            <w:shd w:val="clear" w:color="auto" w:fill="F7F9FC"/>
          </w:tcPr>
          <w:p>
            <w:pPr>
              <w:spacing w:before="60" w:after="60"/>
            </w:pPr>
            <w:r>
              <w:rPr>
                <w:b/>
                <w:color w:val="1F3564"/>
                <w:sz w:val="19"/>
              </w:rPr>
              <w:t>Team Lead / PM</w:t>
            </w:r>
          </w:p>
        </w:tc>
        <w:tc>
          <w:tcPr>
            <w:tcW w:type="dxa" w:w="6973"/>
            <w:shd w:val="clear" w:color="auto" w:fill="F7F9FC"/>
          </w:tcPr>
          <w:p>
            <w:pPr>
              <w:spacing w:before="60" w:after="60"/>
            </w:pPr>
            <w:r>
              <w:rPr>
                <w:sz w:val="19"/>
              </w:rPr>
              <w:t>Business team gives written sign-off. Change request or deployment approval is documented.</w:t>
            </w:r>
          </w:p>
        </w:tc>
      </w:tr>
      <w:tr>
        <w:tc>
          <w:tcPr>
            <w:tcW w:type="dxa" w:w="737"/>
            <w:shd w:val="clear" w:color="auto" w:fill="FFFFFF"/>
          </w:tcPr>
          <w:p>
            <w:pPr>
              <w:spacing w:before="60" w:after="60"/>
              <w:jc w:val="center"/>
            </w:pPr>
            <w:r>
              <w:rPr>
                <w:b/>
                <w:color w:val="2E74B5"/>
                <w:sz w:val="19"/>
              </w:rPr>
              <w:t>6</w:t>
            </w:r>
          </w:p>
        </w:tc>
        <w:tc>
          <w:tcPr>
            <w:tcW w:type="dxa" w:w="2154"/>
            <w:shd w:val="clear" w:color="auto" w:fill="FFFFFF"/>
          </w:tcPr>
          <w:p>
            <w:pPr>
              <w:spacing w:before="60" w:after="60"/>
            </w:pPr>
            <w:r>
              <w:rPr>
                <w:b/>
                <w:color w:val="1F3564"/>
                <w:sz w:val="19"/>
              </w:rPr>
              <w:t>PB-PROD Team</w:t>
            </w:r>
          </w:p>
        </w:tc>
        <w:tc>
          <w:tcPr>
            <w:tcW w:type="dxa" w:w="6973"/>
            <w:shd w:val="clear" w:color="auto" w:fill="FFFFFF"/>
          </w:tcPr>
          <w:p>
            <w:pPr>
              <w:spacing w:before="60" w:after="60"/>
            </w:pPr>
            <w:r>
              <w:rPr>
                <w:sz w:val="19"/>
              </w:rPr>
              <w:t>PB-PROD team triggers the Jenkins deploy job for pb-sdc-prod. The new image tag is applied to production.</w:t>
            </w:r>
          </w:p>
        </w:tc>
      </w:tr>
      <w:tr>
        <w:tc>
          <w:tcPr>
            <w:tcW w:type="dxa" w:w="737"/>
            <w:shd w:val="clear" w:color="auto" w:fill="F7F9FC"/>
          </w:tcPr>
          <w:p>
            <w:pPr>
              <w:spacing w:before="60" w:after="60"/>
              <w:jc w:val="center"/>
            </w:pPr>
            <w:r>
              <w:rPr>
                <w:b/>
                <w:color w:val="2E74B5"/>
                <w:sz w:val="19"/>
              </w:rPr>
              <w:t>7</w:t>
            </w:r>
          </w:p>
        </w:tc>
        <w:tc>
          <w:tcPr>
            <w:tcW w:type="dxa" w:w="2154"/>
            <w:shd w:val="clear" w:color="auto" w:fill="F7F9FC"/>
          </w:tcPr>
          <w:p>
            <w:pPr>
              <w:spacing w:before="60" w:after="60"/>
            </w:pPr>
            <w:r>
              <w:rPr>
                <w:b/>
                <w:color w:val="1F3564"/>
                <w:sz w:val="19"/>
              </w:rPr>
              <w:t>DevOps</w:t>
            </w:r>
          </w:p>
        </w:tc>
        <w:tc>
          <w:tcPr>
            <w:tcW w:type="dxa" w:w="6973"/>
            <w:shd w:val="clear" w:color="auto" w:fill="F7F9FC"/>
          </w:tcPr>
          <w:p>
            <w:pPr>
              <w:spacing w:before="60" w:after="60"/>
            </w:pPr>
            <w:r>
              <w:rPr>
                <w:sz w:val="19"/>
              </w:rPr>
              <w:t>Monitor Kibana (logs) and Grafana (metrics) for 15 minutes post-deployment. If issues arise, redeploy the previous image tag to roll back instantly.</w:t>
            </w:r>
          </w:p>
        </w:tc>
      </w:tr>
    </w:tbl>
    <w:p>
      <w:pPr>
        <w:spacing w:before="0" w:after="1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1F3564"/>
            <w:vAlign w:val="center"/>
          </w:tcPr>
          <w:p>
            <w:pPr>
              <w:spacing w:before="120" w:after="120"/>
              <w:jc w:val="center"/>
            </w:pPr>
            <w:r>
              <w:rPr>
                <w:b/>
                <w:color w:val="FFFFFF"/>
                <w:sz w:val="22"/>
              </w:rPr>
              <w:t>C.  Infrastructure Change on SDC  —  e.g. resize a VM, add disk space, add a new node</w:t>
            </w:r>
          </w:p>
        </w:tc>
      </w:tr>
    </w:tbl>
    <w:p>
      <w:pPr>
        <w:spacing w:before="0" w:after="0"/>
      </w:pPr>
    </w:p>
    <w:p>
      <w:pPr>
        <w:spacing w:before="0" w:after="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737"/>
            <w:shd w:val="clear" w:color="auto" w:fill="1F3564"/>
          </w:tcPr>
          <w:p>
            <w:pPr>
              <w:spacing w:before="60" w:after="60"/>
            </w:pPr>
            <w:r>
              <w:rPr>
                <w:b/>
                <w:color w:val="FFFFFF"/>
                <w:sz w:val="19"/>
              </w:rPr>
              <w:t>Step</w:t>
            </w:r>
          </w:p>
        </w:tc>
        <w:tc>
          <w:tcPr>
            <w:tcW w:type="dxa" w:w="2154"/>
            <w:shd w:val="clear" w:color="auto" w:fill="1F3564"/>
          </w:tcPr>
          <w:p>
            <w:pPr>
              <w:spacing w:before="60" w:after="60"/>
            </w:pPr>
            <w:r>
              <w:rPr>
                <w:b/>
                <w:color w:val="FFFFFF"/>
                <w:sz w:val="19"/>
              </w:rPr>
              <w:t>Who</w:t>
            </w:r>
          </w:p>
        </w:tc>
        <w:tc>
          <w:tcPr>
            <w:tcW w:type="dxa" w:w="6973"/>
            <w:shd w:val="clear" w:color="auto" w:fill="1F3564"/>
          </w:tcPr>
          <w:p>
            <w:pPr>
              <w:spacing w:before="60" w:after="60"/>
            </w:pPr>
            <w:r>
              <w:rPr>
                <w:b/>
                <w:color w:val="FFFFFF"/>
                <w:sz w:val="19"/>
              </w:rPr>
              <w:t>Action</w:t>
            </w:r>
          </w:p>
        </w:tc>
      </w:tr>
      <w:tr>
        <w:tc>
          <w:tcPr>
            <w:tcW w:type="dxa" w:w="737"/>
            <w:shd w:val="clear" w:color="auto" w:fill="F7F9FC"/>
          </w:tcPr>
          <w:p>
            <w:pPr>
              <w:spacing w:before="60" w:after="60"/>
              <w:jc w:val="center"/>
            </w:pPr>
            <w:r>
              <w:rPr>
                <w:b/>
                <w:color w:val="2E74B5"/>
                <w:sz w:val="19"/>
              </w:rPr>
              <w:t>1</w:t>
            </w:r>
          </w:p>
        </w:tc>
        <w:tc>
          <w:tcPr>
            <w:tcW w:type="dxa" w:w="2154"/>
            <w:shd w:val="clear" w:color="auto" w:fill="F7F9FC"/>
          </w:tcPr>
          <w:p>
            <w:pPr>
              <w:spacing w:before="60" w:after="60"/>
            </w:pPr>
            <w:r>
              <w:rPr>
                <w:b/>
                <w:color w:val="1F3564"/>
                <w:sz w:val="19"/>
              </w:rPr>
              <w:t>DevOps / Infra</w:t>
            </w:r>
          </w:p>
        </w:tc>
        <w:tc>
          <w:tcPr>
            <w:tcW w:type="dxa" w:w="6973"/>
            <w:shd w:val="clear" w:color="auto" w:fill="F7F9FC"/>
          </w:tcPr>
          <w:p>
            <w:pPr>
              <w:spacing w:before="60" w:after="60"/>
            </w:pPr>
            <w:r>
              <w:rPr>
                <w:sz w:val="19"/>
              </w:rPr>
              <w:t>Raise a formal request to NIC/SDC Operations team specifying: VM name, required vCPU/RAM change, or new disk size in GB.</w:t>
            </w:r>
          </w:p>
        </w:tc>
      </w:tr>
      <w:tr>
        <w:tc>
          <w:tcPr>
            <w:tcW w:type="dxa" w:w="737"/>
            <w:shd w:val="clear" w:color="auto" w:fill="FFFFFF"/>
          </w:tcPr>
          <w:p>
            <w:pPr>
              <w:spacing w:before="60" w:after="60"/>
              <w:jc w:val="center"/>
            </w:pPr>
            <w:r>
              <w:rPr>
                <w:b/>
                <w:color w:val="2E74B5"/>
                <w:sz w:val="19"/>
              </w:rPr>
              <w:t>2</w:t>
            </w:r>
          </w:p>
        </w:tc>
        <w:tc>
          <w:tcPr>
            <w:tcW w:type="dxa" w:w="2154"/>
            <w:shd w:val="clear" w:color="auto" w:fill="FFFFFF"/>
          </w:tcPr>
          <w:p>
            <w:pPr>
              <w:spacing w:before="60" w:after="60"/>
            </w:pPr>
            <w:r>
              <w:rPr>
                <w:b/>
                <w:color w:val="1F3564"/>
                <w:sz w:val="19"/>
              </w:rPr>
              <w:t>NIC SDC Ops</w:t>
            </w:r>
          </w:p>
        </w:tc>
        <w:tc>
          <w:tcPr>
            <w:tcW w:type="dxa" w:w="6973"/>
            <w:shd w:val="clear" w:color="auto" w:fill="FFFFFF"/>
          </w:tcPr>
          <w:p>
            <w:pPr>
              <w:spacing w:before="60" w:after="60"/>
            </w:pPr>
            <w:r>
              <w:rPr>
                <w:sz w:val="19"/>
              </w:rPr>
              <w:t>NIC team modifies the OpenStack VM — resize vCPU/RAM or attach a new Cinder volume. This typically takes 1–2 business days.</w:t>
            </w:r>
          </w:p>
        </w:tc>
      </w:tr>
      <w:tr>
        <w:tc>
          <w:tcPr>
            <w:tcW w:type="dxa" w:w="737"/>
            <w:shd w:val="clear" w:color="auto" w:fill="F7F9FC"/>
          </w:tcPr>
          <w:p>
            <w:pPr>
              <w:spacing w:before="60" w:after="60"/>
              <w:jc w:val="center"/>
            </w:pPr>
            <w:r>
              <w:rPr>
                <w:b/>
                <w:color w:val="2E74B5"/>
                <w:sz w:val="19"/>
              </w:rPr>
              <w:t>3</w:t>
            </w:r>
          </w:p>
        </w:tc>
        <w:tc>
          <w:tcPr>
            <w:tcW w:type="dxa" w:w="2154"/>
            <w:shd w:val="clear" w:color="auto" w:fill="F7F9FC"/>
          </w:tcPr>
          <w:p>
            <w:pPr>
              <w:spacing w:before="60" w:after="60"/>
            </w:pPr>
            <w:r>
              <w:rPr>
                <w:b/>
                <w:color w:val="1F3564"/>
                <w:sz w:val="19"/>
              </w:rPr>
              <w:t>DevOps</w:t>
            </w:r>
          </w:p>
        </w:tc>
        <w:tc>
          <w:tcPr>
            <w:tcW w:type="dxa" w:w="6973"/>
            <w:shd w:val="clear" w:color="auto" w:fill="F7F9FC"/>
          </w:tcPr>
          <w:p>
            <w:pPr>
              <w:spacing w:before="60" w:after="60"/>
            </w:pPr>
            <w:r>
              <w:rPr>
                <w:sz w:val="19"/>
              </w:rPr>
              <w:t>For new VM: SSH in, install OS packages, configure Docker, and run kubeadm join to add the VM to the Kubernetes cluster.</w:t>
            </w:r>
          </w:p>
        </w:tc>
      </w:tr>
      <w:tr>
        <w:tc>
          <w:tcPr>
            <w:tcW w:type="dxa" w:w="737"/>
            <w:shd w:val="clear" w:color="auto" w:fill="FFFFFF"/>
          </w:tcPr>
          <w:p>
            <w:pPr>
              <w:spacing w:before="60" w:after="60"/>
              <w:jc w:val="center"/>
            </w:pPr>
            <w:r>
              <w:rPr>
                <w:b/>
                <w:color w:val="2E74B5"/>
                <w:sz w:val="19"/>
              </w:rPr>
              <w:t>4</w:t>
            </w:r>
          </w:p>
        </w:tc>
        <w:tc>
          <w:tcPr>
            <w:tcW w:type="dxa" w:w="2154"/>
            <w:shd w:val="clear" w:color="auto" w:fill="FFFFFF"/>
          </w:tcPr>
          <w:p>
            <w:pPr>
              <w:spacing w:before="60" w:after="60"/>
            </w:pPr>
            <w:r>
              <w:rPr>
                <w:b/>
                <w:color w:val="1F3564"/>
                <w:sz w:val="19"/>
              </w:rPr>
              <w:t>DevOps</w:t>
            </w:r>
          </w:p>
        </w:tc>
        <w:tc>
          <w:tcPr>
            <w:tcW w:type="dxa" w:w="6973"/>
            <w:shd w:val="clear" w:color="auto" w:fill="FFFFFF"/>
          </w:tcPr>
          <w:p>
            <w:pPr>
              <w:spacing w:before="60" w:after="60"/>
            </w:pPr>
            <w:r>
              <w:rPr>
                <w:sz w:val="19"/>
              </w:rPr>
              <w:t>Verify the new node appears: kubectl get nodes — status should be "Ready". For new disk: format, mount, and update any PersistentVolume configs.</w:t>
            </w:r>
          </w:p>
        </w:tc>
      </w:tr>
      <w:tr>
        <w:tc>
          <w:tcPr>
            <w:tcW w:type="dxa" w:w="737"/>
            <w:shd w:val="clear" w:color="auto" w:fill="F7F9FC"/>
          </w:tcPr>
          <w:p>
            <w:pPr>
              <w:spacing w:before="60" w:after="60"/>
              <w:jc w:val="center"/>
            </w:pPr>
            <w:r>
              <w:rPr>
                <w:b/>
                <w:color w:val="2E74B5"/>
                <w:sz w:val="19"/>
              </w:rPr>
              <w:t>5</w:t>
            </w:r>
          </w:p>
        </w:tc>
        <w:tc>
          <w:tcPr>
            <w:tcW w:type="dxa" w:w="2154"/>
            <w:shd w:val="clear" w:color="auto" w:fill="F7F9FC"/>
          </w:tcPr>
          <w:p>
            <w:pPr>
              <w:spacing w:before="60" w:after="60"/>
            </w:pPr>
            <w:r>
              <w:rPr>
                <w:b/>
                <w:color w:val="1F3564"/>
                <w:sz w:val="19"/>
              </w:rPr>
              <w:t>DevOps</w:t>
            </w:r>
          </w:p>
        </w:tc>
        <w:tc>
          <w:tcPr>
            <w:tcW w:type="dxa" w:w="6973"/>
            <w:shd w:val="clear" w:color="auto" w:fill="F7F9FC"/>
          </w:tcPr>
          <w:p>
            <w:pPr>
              <w:spacing w:before="60" w:after="60"/>
            </w:pPr>
            <w:r>
              <w:rPr>
                <w:sz w:val="19"/>
              </w:rPr>
              <w:t>If a service's pod needs to land on the new node (e.g. larger Kafka node), cordon the old node and allow rescheduling: kubectl drain &lt;old-node&gt;.</w:t>
            </w:r>
          </w:p>
        </w:tc>
      </w:tr>
      <w:tr>
        <w:tc>
          <w:tcPr>
            <w:tcW w:type="dxa" w:w="737"/>
            <w:shd w:val="clear" w:color="auto" w:fill="FFFFFF"/>
          </w:tcPr>
          <w:p>
            <w:pPr>
              <w:spacing w:before="60" w:after="60"/>
              <w:jc w:val="center"/>
            </w:pPr>
            <w:r>
              <w:rPr>
                <w:b/>
                <w:color w:val="2E74B5"/>
                <w:sz w:val="19"/>
              </w:rPr>
              <w:t>6</w:t>
            </w:r>
          </w:p>
        </w:tc>
        <w:tc>
          <w:tcPr>
            <w:tcW w:type="dxa" w:w="2154"/>
            <w:shd w:val="clear" w:color="auto" w:fill="FFFFFF"/>
          </w:tcPr>
          <w:p>
            <w:pPr>
              <w:spacing w:before="60" w:after="60"/>
            </w:pPr>
            <w:r>
              <w:rPr>
                <w:b/>
                <w:color w:val="1F3564"/>
                <w:sz w:val="19"/>
              </w:rPr>
              <w:t>DevOps</w:t>
            </w:r>
          </w:p>
        </w:tc>
        <w:tc>
          <w:tcPr>
            <w:tcW w:type="dxa" w:w="6973"/>
            <w:shd w:val="clear" w:color="auto" w:fill="FFFFFF"/>
          </w:tcPr>
          <w:p>
            <w:pPr>
              <w:spacing w:before="60" w:after="60"/>
            </w:pPr>
            <w:r>
              <w:rPr>
                <w:sz w:val="19"/>
              </w:rPr>
              <w:t>Document the new VM IP, hostname, role, and disk layout in the team's infrastructure register. Update any static IP references in environment YAML files if IPs change.</w:t>
            </w:r>
          </w:p>
        </w:tc>
      </w:tr>
    </w:tbl>
    <w:p>
      <w:pPr>
        <w:spacing w:before="0" w:after="1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7030A0"/>
            <w:vAlign w:val="center"/>
          </w:tcPr>
          <w:p>
            <w:pPr>
              <w:spacing w:before="120" w:after="120"/>
              <w:jc w:val="center"/>
            </w:pPr>
            <w:r>
              <w:rPr>
                <w:b/>
                <w:color w:val="FFFFFF"/>
                <w:sz w:val="22"/>
              </w:rPr>
              <w:t>D.  Configuration File / MDMS Change  —  e.g. update master data, persister rules, indexer config</w:t>
            </w:r>
          </w:p>
        </w:tc>
      </w:tr>
    </w:tbl>
    <w:p>
      <w:pPr>
        <w:spacing w:before="0" w:after="0"/>
      </w:pPr>
    </w:p>
    <w:p>
      <w:pPr>
        <w:spacing w:before="0" w:after="6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737"/>
            <w:shd w:val="clear" w:color="auto" w:fill="7030A0"/>
          </w:tcPr>
          <w:p>
            <w:pPr>
              <w:spacing w:before="60" w:after="60"/>
            </w:pPr>
            <w:r>
              <w:rPr>
                <w:b/>
                <w:color w:val="FFFFFF"/>
                <w:sz w:val="19"/>
              </w:rPr>
              <w:t>Step</w:t>
            </w:r>
          </w:p>
        </w:tc>
        <w:tc>
          <w:tcPr>
            <w:tcW w:type="dxa" w:w="2154"/>
            <w:shd w:val="clear" w:color="auto" w:fill="7030A0"/>
          </w:tcPr>
          <w:p>
            <w:pPr>
              <w:spacing w:before="60" w:after="60"/>
            </w:pPr>
            <w:r>
              <w:rPr>
                <w:b/>
                <w:color w:val="FFFFFF"/>
                <w:sz w:val="19"/>
              </w:rPr>
              <w:t>Who</w:t>
            </w:r>
          </w:p>
        </w:tc>
        <w:tc>
          <w:tcPr>
            <w:tcW w:type="dxa" w:w="6973"/>
            <w:shd w:val="clear" w:color="auto" w:fill="7030A0"/>
          </w:tcPr>
          <w:p>
            <w:pPr>
              <w:spacing w:before="60" w:after="60"/>
            </w:pPr>
            <w:r>
              <w:rPr>
                <w:b/>
                <w:color w:val="FFFFFF"/>
                <w:sz w:val="19"/>
              </w:rPr>
              <w:t>Action</w:t>
            </w:r>
          </w:p>
        </w:tc>
      </w:tr>
      <w:tr>
        <w:tc>
          <w:tcPr>
            <w:tcW w:type="dxa" w:w="737"/>
            <w:shd w:val="clear" w:color="auto" w:fill="F7F9FC"/>
          </w:tcPr>
          <w:p>
            <w:pPr>
              <w:spacing w:before="60" w:after="60"/>
              <w:jc w:val="center"/>
            </w:pPr>
            <w:r>
              <w:rPr>
                <w:b/>
                <w:color w:val="2E74B5"/>
                <w:sz w:val="19"/>
              </w:rPr>
              <w:t>1</w:t>
            </w:r>
          </w:p>
        </w:tc>
        <w:tc>
          <w:tcPr>
            <w:tcW w:type="dxa" w:w="2154"/>
            <w:shd w:val="clear" w:color="auto" w:fill="F7F9FC"/>
          </w:tcPr>
          <w:p>
            <w:pPr>
              <w:spacing w:before="60" w:after="60"/>
            </w:pPr>
            <w:r>
              <w:rPr>
                <w:b/>
                <w:color w:val="1F3564"/>
                <w:sz w:val="19"/>
              </w:rPr>
              <w:t>Developer</w:t>
            </w:r>
          </w:p>
        </w:tc>
        <w:tc>
          <w:tcPr>
            <w:tcW w:type="dxa" w:w="6973"/>
            <w:shd w:val="clear" w:color="auto" w:fill="F7F9FC"/>
          </w:tcPr>
          <w:p>
            <w:pPr>
              <w:spacing w:before="60" w:after="60"/>
            </w:pPr>
            <w:r>
              <w:rPr>
                <w:sz w:val="19"/>
              </w:rPr>
              <w:t>Make the change in the appropriate repository: punjab-mdms-data (master data) or punjab-rainmaker-customization (persister/indexer rules).</w:t>
            </w:r>
          </w:p>
        </w:tc>
      </w:tr>
      <w:tr>
        <w:tc>
          <w:tcPr>
            <w:tcW w:type="dxa" w:w="737"/>
            <w:shd w:val="clear" w:color="auto" w:fill="FFFFFF"/>
          </w:tcPr>
          <w:p>
            <w:pPr>
              <w:spacing w:before="60" w:after="60"/>
              <w:jc w:val="center"/>
            </w:pPr>
            <w:r>
              <w:rPr>
                <w:b/>
                <w:color w:val="2E74B5"/>
                <w:sz w:val="19"/>
              </w:rPr>
              <w:t>2</w:t>
            </w:r>
          </w:p>
        </w:tc>
        <w:tc>
          <w:tcPr>
            <w:tcW w:type="dxa" w:w="2154"/>
            <w:shd w:val="clear" w:color="auto" w:fill="FFFFFF"/>
          </w:tcPr>
          <w:p>
            <w:pPr>
              <w:spacing w:before="60" w:after="60"/>
            </w:pPr>
            <w:r>
              <w:rPr>
                <w:b/>
                <w:color w:val="1F3564"/>
                <w:sz w:val="19"/>
              </w:rPr>
              <w:t>Developer</w:t>
            </w:r>
          </w:p>
        </w:tc>
        <w:tc>
          <w:tcPr>
            <w:tcW w:type="dxa" w:w="6973"/>
            <w:shd w:val="clear" w:color="auto" w:fill="FFFFFF"/>
          </w:tcPr>
          <w:p>
            <w:pPr>
              <w:spacing w:before="60" w:after="60"/>
            </w:pPr>
            <w:r>
              <w:rPr>
                <w:sz w:val="19"/>
              </w:rPr>
              <w:t>Raise a PR against the PROD_V2 branch (NOT master). All SDC environments use PROD_V2 as the gitSync branch.</w:t>
            </w:r>
          </w:p>
        </w:tc>
      </w:tr>
      <w:tr>
        <w:tc>
          <w:tcPr>
            <w:tcW w:type="dxa" w:w="737"/>
            <w:shd w:val="clear" w:color="auto" w:fill="F7F9FC"/>
          </w:tcPr>
          <w:p>
            <w:pPr>
              <w:spacing w:before="60" w:after="60"/>
              <w:jc w:val="center"/>
            </w:pPr>
            <w:r>
              <w:rPr>
                <w:b/>
                <w:color w:val="2E74B5"/>
                <w:sz w:val="19"/>
              </w:rPr>
              <w:t>3</w:t>
            </w:r>
          </w:p>
        </w:tc>
        <w:tc>
          <w:tcPr>
            <w:tcW w:type="dxa" w:w="2154"/>
            <w:shd w:val="clear" w:color="auto" w:fill="F7F9FC"/>
          </w:tcPr>
          <w:p>
            <w:pPr>
              <w:spacing w:before="60" w:after="60"/>
            </w:pPr>
            <w:r>
              <w:rPr>
                <w:b/>
                <w:color w:val="1F3564"/>
                <w:sz w:val="19"/>
              </w:rPr>
              <w:t>Team Lead</w:t>
            </w:r>
          </w:p>
        </w:tc>
        <w:tc>
          <w:tcPr>
            <w:tcW w:type="dxa" w:w="6973"/>
            <w:shd w:val="clear" w:color="auto" w:fill="F7F9FC"/>
          </w:tcPr>
          <w:p>
            <w:pPr>
              <w:spacing w:before="60" w:after="60"/>
            </w:pPr>
            <w:r>
              <w:rPr>
                <w:sz w:val="19"/>
              </w:rPr>
              <w:t>PR reviewed and merged to PROD_V2.</w:t>
            </w:r>
          </w:p>
        </w:tc>
      </w:tr>
      <w:tr>
        <w:tc>
          <w:tcPr>
            <w:tcW w:type="dxa" w:w="737"/>
            <w:shd w:val="clear" w:color="auto" w:fill="FFFFFF"/>
          </w:tcPr>
          <w:p>
            <w:pPr>
              <w:spacing w:before="60" w:after="60"/>
              <w:jc w:val="center"/>
            </w:pPr>
            <w:r>
              <w:rPr>
                <w:b/>
                <w:color w:val="2E74B5"/>
                <w:sz w:val="19"/>
              </w:rPr>
              <w:t>4</w:t>
            </w:r>
          </w:p>
        </w:tc>
        <w:tc>
          <w:tcPr>
            <w:tcW w:type="dxa" w:w="2154"/>
            <w:shd w:val="clear" w:color="auto" w:fill="FFFFFF"/>
          </w:tcPr>
          <w:p>
            <w:pPr>
              <w:spacing w:before="60" w:after="60"/>
            </w:pPr>
            <w:r>
              <w:rPr>
                <w:b/>
                <w:color w:val="1F3564"/>
                <w:sz w:val="19"/>
              </w:rPr>
              <w:t>DevOps</w:t>
            </w:r>
          </w:p>
        </w:tc>
        <w:tc>
          <w:tcPr>
            <w:tcW w:type="dxa" w:w="6973"/>
            <w:shd w:val="clear" w:color="auto" w:fill="FFFFFF"/>
          </w:tcPr>
          <w:p>
            <w:pPr>
              <w:spacing w:before="60" w:after="60"/>
            </w:pPr>
            <w:r>
              <w:rPr>
                <w:sz w:val="19"/>
              </w:rPr>
              <w:t>Config changes take effect only on pod restart — gitSync runs at pod startup only, not continuously. Run: kubectl rollout restart deployment/&lt;service-name&gt; -n egov</w:t>
            </w:r>
          </w:p>
        </w:tc>
      </w:tr>
      <w:tr>
        <w:tc>
          <w:tcPr>
            <w:tcW w:type="dxa" w:w="737"/>
            <w:shd w:val="clear" w:color="auto" w:fill="F7F9FC"/>
          </w:tcPr>
          <w:p>
            <w:pPr>
              <w:spacing w:before="60" w:after="60"/>
              <w:jc w:val="center"/>
            </w:pPr>
            <w:r>
              <w:rPr>
                <w:b/>
                <w:color w:val="2E74B5"/>
                <w:sz w:val="19"/>
              </w:rPr>
              <w:t>5</w:t>
            </w:r>
          </w:p>
        </w:tc>
        <w:tc>
          <w:tcPr>
            <w:tcW w:type="dxa" w:w="2154"/>
            <w:shd w:val="clear" w:color="auto" w:fill="F7F9FC"/>
          </w:tcPr>
          <w:p>
            <w:pPr>
              <w:spacing w:before="60" w:after="60"/>
            </w:pPr>
            <w:r>
              <w:rPr>
                <w:b/>
                <w:color w:val="1F3564"/>
                <w:sz w:val="19"/>
              </w:rPr>
              <w:t>QA Team</w:t>
            </w:r>
          </w:p>
        </w:tc>
        <w:tc>
          <w:tcPr>
            <w:tcW w:type="dxa" w:w="6973"/>
            <w:shd w:val="clear" w:color="auto" w:fill="F7F9FC"/>
          </w:tcPr>
          <w:p>
            <w:pPr>
              <w:spacing w:before="60" w:after="60"/>
            </w:pPr>
            <w:r>
              <w:rPr>
                <w:sz w:val="19"/>
              </w:rPr>
              <w:t>Verify the change is effective in SDC UAT before restarting production pods.</w:t>
            </w:r>
          </w:p>
        </w:tc>
      </w:tr>
    </w:tbl>
    <w:p>
      <w:pPr>
        <w:spacing w:before="0" w:after="160"/>
      </w:pPr>
    </w:p>
    <w:p>
      <w:pPr>
        <w:spacing w:before="0" w:after="8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7030A0"/>
          </w:tcPr>
          <w:p>
            <w:pPr>
              <w:spacing w:before="120" w:after="120"/>
            </w:pPr>
            <w:r>
              <w:rPr>
                <w:b/>
                <w:color w:val="FFFFFF"/>
                <w:sz w:val="26"/>
              </w:rPr>
              <w:t xml:space="preserve">  8.  Who Can Do What  —  Access &amp; Permissions</w:t>
            </w:r>
          </w:p>
        </w:tc>
      </w:tr>
    </w:tbl>
    <w:p>
      <w:pPr>
        <w:spacing w:before="0" w:after="100"/>
      </w:pPr>
    </w:p>
    <w:p>
      <w:pPr>
        <w:spacing w:after="160" w:before="0"/>
        <w:jc w:val="left"/>
      </w:pPr>
      <w:r>
        <w:rPr>
          <w:b w:val="0"/>
          <w:i w:val="0"/>
          <w:sz w:val="21"/>
        </w:rPr>
        <w:t>Access is controlled at three levels: GitHub team membership (code), Jenkins job permissions (builds and deployments), and Kubernetes RBAC (cluster). Only the PB-PROD team can deploy to production.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57"/>
        <w:gridCol w:w="1457"/>
        <w:gridCol w:w="1457"/>
        <w:gridCol w:w="1457"/>
        <w:gridCol w:w="1457"/>
        <w:gridCol w:w="1457"/>
        <w:gridCol w:w="1457"/>
      </w:tblGrid>
      <w:tr>
        <w:tc>
          <w:tcPr>
            <w:tcW w:type="dxa" w:w="2268"/>
            <w:shd w:val="clear" w:color="auto" w:fill="1F3564"/>
          </w:tcPr>
          <w:p>
            <w:pPr>
              <w:spacing w:before="60" w:after="60"/>
            </w:pPr>
            <w:r>
              <w:rPr>
                <w:b/>
                <w:color w:val="FFFFFF"/>
                <w:sz w:val="19"/>
              </w:rPr>
              <w:t>Team / Role</w:t>
            </w:r>
          </w:p>
        </w:tc>
        <w:tc>
          <w:tcPr>
            <w:tcW w:type="dxa" w:w="1701"/>
            <w:shd w:val="clear" w:color="auto" w:fill="1F3564"/>
          </w:tcPr>
          <w:p>
            <w:pPr>
              <w:spacing w:before="60" w:after="60"/>
            </w:pPr>
            <w:r>
              <w:rPr>
                <w:b/>
                <w:color w:val="FFFFFF"/>
                <w:sz w:val="19"/>
              </w:rPr>
              <w:t>Code in GitHub</w:t>
            </w:r>
          </w:p>
        </w:tc>
        <w:tc>
          <w:tcPr>
            <w:tcW w:type="dxa" w:w="1020"/>
            <w:shd w:val="clear" w:color="auto" w:fill="1F3564"/>
          </w:tcPr>
          <w:p>
            <w:pPr>
              <w:spacing w:before="60" w:after="60"/>
            </w:pPr>
            <w:r>
              <w:rPr>
                <w:b/>
                <w:color w:val="FFFFFF"/>
                <w:sz w:val="19"/>
              </w:rPr>
              <w:t>Build Jobs</w:t>
            </w:r>
          </w:p>
        </w:tc>
        <w:tc>
          <w:tcPr>
            <w:tcW w:type="dxa" w:w="1417"/>
            <w:shd w:val="clear" w:color="auto" w:fill="1F3564"/>
          </w:tcPr>
          <w:p>
            <w:pPr>
              <w:spacing w:before="60" w:after="60"/>
            </w:pPr>
            <w:r>
              <w:rPr>
                <w:b/>
                <w:color w:val="FFFFFF"/>
                <w:sz w:val="19"/>
              </w:rPr>
              <w:t>Deploy: Dev/QA</w:t>
            </w:r>
          </w:p>
        </w:tc>
        <w:tc>
          <w:tcPr>
            <w:tcW w:type="dxa" w:w="1304"/>
            <w:shd w:val="clear" w:color="auto" w:fill="1F3564"/>
          </w:tcPr>
          <w:p>
            <w:pPr>
              <w:spacing w:before="60" w:after="60"/>
            </w:pPr>
            <w:r>
              <w:rPr>
                <w:b/>
                <w:color w:val="FFFFFF"/>
                <w:sz w:val="19"/>
              </w:rPr>
              <w:t>Deploy: UAT</w:t>
            </w:r>
          </w:p>
        </w:tc>
        <w:tc>
          <w:tcPr>
            <w:tcW w:type="dxa" w:w="1417"/>
            <w:shd w:val="clear" w:color="auto" w:fill="1F3564"/>
          </w:tcPr>
          <w:p>
            <w:pPr>
              <w:spacing w:before="60" w:after="60"/>
            </w:pPr>
            <w:r>
              <w:rPr>
                <w:b/>
                <w:color w:val="FFFFFF"/>
                <w:sz w:val="19"/>
              </w:rPr>
              <w:t>Deploy: Production</w:t>
            </w:r>
          </w:p>
        </w:tc>
        <w:tc>
          <w:tcPr>
            <w:tcW w:type="dxa" w:w="737"/>
            <w:shd w:val="clear" w:color="auto" w:fill="1F3564"/>
          </w:tcPr>
          <w:p>
            <w:pPr>
              <w:spacing w:before="60" w:after="60"/>
            </w:pPr>
            <w:r>
              <w:rPr>
                <w:b/>
                <w:color w:val="FFFFFF"/>
                <w:sz w:val="19"/>
              </w:rPr>
              <w:t>Infra Changes</w:t>
            </w:r>
          </w:p>
        </w:tc>
      </w:tr>
      <w:tr>
        <w:tc>
          <w:tcPr>
            <w:tcW w:type="dxa" w:w="2268"/>
            <w:shd w:val="clear" w:color="auto" w:fill="F7F9FC"/>
          </w:tcPr>
          <w:p>
            <w:pPr>
              <w:spacing w:before="60" w:after="60"/>
            </w:pPr>
            <w:r>
              <w:rPr>
                <w:b/>
                <w:color w:val="1F3564"/>
                <w:sz w:val="18"/>
              </w:rPr>
              <w:t>pmidc-service-devops</w:t>
              <w:br/>
              <w:t>(Jenkins Admin)</w:t>
            </w:r>
          </w:p>
        </w:tc>
        <w:tc>
          <w:tcPr>
            <w:tcW w:type="dxa" w:w="1701"/>
            <w:shd w:val="clear" w:color="auto" w:fill="F7F9FC"/>
          </w:tcPr>
          <w:p>
            <w:pPr>
              <w:spacing w:before="60" w:after="60"/>
            </w:pPr>
            <w:r>
              <w:rPr>
                <w:b w:val="0"/>
                <w:sz w:val="18"/>
              </w:rPr>
              <w:t>Full</w:t>
            </w:r>
          </w:p>
        </w:tc>
        <w:tc>
          <w:tcPr>
            <w:tcW w:type="dxa" w:w="1020"/>
            <w:shd w:val="clear" w:color="auto" w:fill="F7F9FC"/>
          </w:tcPr>
          <w:p>
            <w:pPr>
              <w:spacing w:before="60" w:after="60"/>
              <w:jc w:val="center"/>
            </w:pPr>
            <w:r>
              <w:rPr>
                <w:b/>
                <w:color w:val="1E7A45"/>
                <w:sz w:val="18"/>
              </w:rPr>
              <w:t>✓</w:t>
            </w:r>
          </w:p>
        </w:tc>
        <w:tc>
          <w:tcPr>
            <w:tcW w:type="dxa" w:w="1417"/>
            <w:shd w:val="clear" w:color="auto" w:fill="F7F9FC"/>
          </w:tcPr>
          <w:p>
            <w:pPr>
              <w:spacing w:before="60" w:after="60"/>
              <w:jc w:val="center"/>
            </w:pPr>
            <w:r>
              <w:rPr>
                <w:b/>
                <w:color w:val="1E7A45"/>
                <w:sz w:val="18"/>
              </w:rPr>
              <w:t>✓</w:t>
            </w:r>
          </w:p>
        </w:tc>
        <w:tc>
          <w:tcPr>
            <w:tcW w:type="dxa" w:w="1304"/>
            <w:shd w:val="clear" w:color="auto" w:fill="F7F9FC"/>
          </w:tcPr>
          <w:p>
            <w:pPr>
              <w:spacing w:before="60" w:after="60"/>
              <w:jc w:val="center"/>
            </w:pPr>
            <w:r>
              <w:rPr>
                <w:b/>
                <w:color w:val="1E7A45"/>
                <w:sz w:val="18"/>
              </w:rPr>
              <w:t>✓</w:t>
            </w:r>
          </w:p>
        </w:tc>
        <w:tc>
          <w:tcPr>
            <w:tcW w:type="dxa" w:w="1417"/>
            <w:shd w:val="clear" w:color="auto" w:fill="F7F9FC"/>
          </w:tcPr>
          <w:p>
            <w:pPr>
              <w:spacing w:before="60" w:after="60"/>
              <w:jc w:val="center"/>
            </w:pPr>
            <w:r>
              <w:rPr>
                <w:b/>
                <w:color w:val="1E7A45"/>
                <w:sz w:val="18"/>
              </w:rPr>
              <w:t>✓</w:t>
            </w:r>
          </w:p>
        </w:tc>
        <w:tc>
          <w:tcPr>
            <w:tcW w:type="dxa" w:w="737"/>
            <w:shd w:val="clear" w:color="auto" w:fill="F7F9FC"/>
          </w:tcPr>
          <w:p>
            <w:pPr>
              <w:spacing w:before="60" w:after="60"/>
              <w:jc w:val="center"/>
            </w:pPr>
            <w:r>
              <w:rPr>
                <w:b/>
                <w:color w:val="1E7A45"/>
                <w:sz w:val="18"/>
              </w:rPr>
              <w:t>✓</w:t>
            </w:r>
          </w:p>
        </w:tc>
      </w:tr>
      <w:tr>
        <w:tc>
          <w:tcPr>
            <w:tcW w:type="dxa" w:w="2268"/>
            <w:shd w:val="clear" w:color="auto" w:fill="FFFFFF"/>
          </w:tcPr>
          <w:p>
            <w:pPr>
              <w:spacing w:before="60" w:after="60"/>
            </w:pPr>
            <w:r>
              <w:rPr>
                <w:b/>
                <w:color w:val="1F3564"/>
                <w:sz w:val="18"/>
              </w:rPr>
              <w:t>pb-dev</w:t>
              <w:br/>
              <w:t>(Developers)</w:t>
            </w:r>
          </w:p>
        </w:tc>
        <w:tc>
          <w:tcPr>
            <w:tcW w:type="dxa" w:w="1701"/>
            <w:shd w:val="clear" w:color="auto" w:fill="FFFFFF"/>
          </w:tcPr>
          <w:p>
            <w:pPr>
              <w:spacing w:before="60" w:after="60"/>
            </w:pPr>
            <w:r>
              <w:rPr>
                <w:b w:val="0"/>
                <w:sz w:val="18"/>
              </w:rPr>
              <w:t>Dev repos</w:t>
            </w:r>
          </w:p>
        </w:tc>
        <w:tc>
          <w:tcPr>
            <w:tcW w:type="dxa" w:w="1020"/>
            <w:shd w:val="clear" w:color="auto" w:fill="FFFFFF"/>
          </w:tcPr>
          <w:p>
            <w:pPr>
              <w:spacing w:before="60" w:after="60"/>
              <w:jc w:val="center"/>
            </w:pPr>
            <w:r>
              <w:rPr>
                <w:b/>
                <w:color w:val="1E7A45"/>
                <w:sz w:val="18"/>
              </w:rPr>
              <w:t>✓</w:t>
            </w:r>
          </w:p>
        </w:tc>
        <w:tc>
          <w:tcPr>
            <w:tcW w:type="dxa" w:w="1417"/>
            <w:shd w:val="clear" w:color="auto" w:fill="FFFFFF"/>
          </w:tcPr>
          <w:p>
            <w:pPr>
              <w:spacing w:before="60" w:after="60"/>
              <w:jc w:val="center"/>
            </w:pPr>
            <w:r>
              <w:rPr>
                <w:b w:val="0"/>
                <w:color w:val="C00000"/>
                <w:sz w:val="18"/>
              </w:rPr>
              <w:t>✗</w:t>
            </w:r>
          </w:p>
        </w:tc>
        <w:tc>
          <w:tcPr>
            <w:tcW w:type="dxa" w:w="1304"/>
            <w:shd w:val="clear" w:color="auto" w:fill="FFFFFF"/>
          </w:tcPr>
          <w:p>
            <w:pPr>
              <w:spacing w:before="60" w:after="60"/>
              <w:jc w:val="center"/>
            </w:pPr>
            <w:r>
              <w:rPr>
                <w:b w:val="0"/>
                <w:color w:val="C00000"/>
                <w:sz w:val="18"/>
              </w:rPr>
              <w:t>✗</w:t>
            </w:r>
          </w:p>
        </w:tc>
        <w:tc>
          <w:tcPr>
            <w:tcW w:type="dxa" w:w="1417"/>
            <w:shd w:val="clear" w:color="auto" w:fill="FFFFFF"/>
          </w:tcPr>
          <w:p>
            <w:pPr>
              <w:spacing w:before="60" w:after="60"/>
              <w:jc w:val="center"/>
            </w:pPr>
            <w:r>
              <w:rPr>
                <w:b w:val="0"/>
                <w:color w:val="C00000"/>
                <w:sz w:val="18"/>
              </w:rPr>
              <w:t>✗</w:t>
            </w:r>
          </w:p>
        </w:tc>
        <w:tc>
          <w:tcPr>
            <w:tcW w:type="dxa" w:w="737"/>
            <w:shd w:val="clear" w:color="auto" w:fill="FFFFFF"/>
          </w:tcPr>
          <w:p>
            <w:pPr>
              <w:spacing w:before="60" w:after="60"/>
              <w:jc w:val="center"/>
            </w:pPr>
            <w:r>
              <w:rPr>
                <w:b w:val="0"/>
                <w:color w:val="C00000"/>
                <w:sz w:val="18"/>
              </w:rPr>
              <w:t>✗</w:t>
            </w:r>
          </w:p>
        </w:tc>
      </w:tr>
      <w:tr>
        <w:tc>
          <w:tcPr>
            <w:tcW w:type="dxa" w:w="2268"/>
            <w:shd w:val="clear" w:color="auto" w:fill="F7F9FC"/>
          </w:tcPr>
          <w:p>
            <w:pPr>
              <w:spacing w:before="60" w:after="60"/>
            </w:pPr>
            <w:r>
              <w:rPr>
                <w:b/>
                <w:color w:val="1F3564"/>
                <w:sz w:val="18"/>
              </w:rPr>
              <w:t>pb-uat</w:t>
              <w:br/>
              <w:t>(QA / UAT Team)</w:t>
            </w:r>
          </w:p>
        </w:tc>
        <w:tc>
          <w:tcPr>
            <w:tcW w:type="dxa" w:w="1701"/>
            <w:shd w:val="clear" w:color="auto" w:fill="F7F9FC"/>
          </w:tcPr>
          <w:p>
            <w:pPr>
              <w:spacing w:before="60" w:after="60"/>
            </w:pPr>
            <w:r>
              <w:rPr>
                <w:b w:val="0"/>
                <w:sz w:val="18"/>
              </w:rPr>
              <w:t>Read only</w:t>
            </w:r>
          </w:p>
        </w:tc>
        <w:tc>
          <w:tcPr>
            <w:tcW w:type="dxa" w:w="1020"/>
            <w:shd w:val="clear" w:color="auto" w:fill="F7F9FC"/>
          </w:tcPr>
          <w:p>
            <w:pPr>
              <w:spacing w:before="60" w:after="60"/>
              <w:jc w:val="center"/>
            </w:pPr>
            <w:r>
              <w:rPr>
                <w:b w:val="0"/>
                <w:color w:val="C00000"/>
                <w:sz w:val="18"/>
              </w:rPr>
              <w:t>✗</w:t>
            </w:r>
          </w:p>
        </w:tc>
        <w:tc>
          <w:tcPr>
            <w:tcW w:type="dxa" w:w="1417"/>
            <w:shd w:val="clear" w:color="auto" w:fill="F7F9FC"/>
          </w:tcPr>
          <w:p>
            <w:pPr>
              <w:spacing w:before="60" w:after="60"/>
              <w:jc w:val="center"/>
            </w:pPr>
            <w:r>
              <w:rPr>
                <w:b/>
                <w:color w:val="1E7A45"/>
                <w:sz w:val="18"/>
              </w:rPr>
              <w:t>✓</w:t>
            </w:r>
          </w:p>
        </w:tc>
        <w:tc>
          <w:tcPr>
            <w:tcW w:type="dxa" w:w="1304"/>
            <w:shd w:val="clear" w:color="auto" w:fill="F7F9FC"/>
          </w:tcPr>
          <w:p>
            <w:pPr>
              <w:spacing w:before="60" w:after="60"/>
              <w:jc w:val="center"/>
            </w:pPr>
            <w:r>
              <w:rPr>
                <w:b/>
                <w:color w:val="1E7A45"/>
                <w:sz w:val="18"/>
              </w:rPr>
              <w:t>✓</w:t>
            </w:r>
          </w:p>
        </w:tc>
        <w:tc>
          <w:tcPr>
            <w:tcW w:type="dxa" w:w="1417"/>
            <w:shd w:val="clear" w:color="auto" w:fill="F7F9FC"/>
          </w:tcPr>
          <w:p>
            <w:pPr>
              <w:spacing w:before="60" w:after="60"/>
              <w:jc w:val="center"/>
            </w:pPr>
            <w:r>
              <w:rPr>
                <w:b w:val="0"/>
                <w:color w:val="C00000"/>
                <w:sz w:val="18"/>
              </w:rPr>
              <w:t>✗</w:t>
            </w:r>
          </w:p>
        </w:tc>
        <w:tc>
          <w:tcPr>
            <w:tcW w:type="dxa" w:w="737"/>
            <w:shd w:val="clear" w:color="auto" w:fill="F7F9FC"/>
          </w:tcPr>
          <w:p>
            <w:pPr>
              <w:spacing w:before="60" w:after="60"/>
              <w:jc w:val="center"/>
            </w:pPr>
            <w:r>
              <w:rPr>
                <w:b w:val="0"/>
                <w:color w:val="C00000"/>
                <w:sz w:val="18"/>
              </w:rPr>
              <w:t>✗</w:t>
            </w:r>
          </w:p>
        </w:tc>
      </w:tr>
      <w:tr>
        <w:tc>
          <w:tcPr>
            <w:tcW w:type="dxa" w:w="2268"/>
            <w:shd w:val="clear" w:color="auto" w:fill="FFFFFF"/>
          </w:tcPr>
          <w:p>
            <w:pPr>
              <w:spacing w:before="60" w:after="60"/>
            </w:pPr>
            <w:r>
              <w:rPr>
                <w:b/>
                <w:color w:val="1F3564"/>
                <w:sz w:val="18"/>
              </w:rPr>
              <w:t>PB-PROD</w:t>
              <w:br/>
              <w:t>(Production Team)</w:t>
            </w:r>
          </w:p>
        </w:tc>
        <w:tc>
          <w:tcPr>
            <w:tcW w:type="dxa" w:w="1701"/>
            <w:shd w:val="clear" w:color="auto" w:fill="FFFFFF"/>
          </w:tcPr>
          <w:p>
            <w:pPr>
              <w:spacing w:before="60" w:after="60"/>
            </w:pPr>
            <w:r>
              <w:rPr>
                <w:b w:val="0"/>
                <w:sz w:val="18"/>
              </w:rPr>
              <w:t>Read only</w:t>
            </w:r>
          </w:p>
        </w:tc>
        <w:tc>
          <w:tcPr>
            <w:tcW w:type="dxa" w:w="1020"/>
            <w:shd w:val="clear" w:color="auto" w:fill="FFFFFF"/>
          </w:tcPr>
          <w:p>
            <w:pPr>
              <w:spacing w:before="60" w:after="60"/>
              <w:jc w:val="center"/>
            </w:pPr>
            <w:r>
              <w:rPr>
                <w:b w:val="0"/>
                <w:color w:val="C00000"/>
                <w:sz w:val="18"/>
              </w:rPr>
              <w:t>✗</w:t>
            </w:r>
          </w:p>
        </w:tc>
        <w:tc>
          <w:tcPr>
            <w:tcW w:type="dxa" w:w="1417"/>
            <w:shd w:val="clear" w:color="auto" w:fill="FFFFFF"/>
          </w:tcPr>
          <w:p>
            <w:pPr>
              <w:spacing w:before="60" w:after="60"/>
              <w:jc w:val="center"/>
            </w:pPr>
            <w:r>
              <w:rPr>
                <w:b w:val="0"/>
                <w:color w:val="C00000"/>
                <w:sz w:val="18"/>
              </w:rPr>
              <w:t>✗</w:t>
            </w:r>
          </w:p>
        </w:tc>
        <w:tc>
          <w:tcPr>
            <w:tcW w:type="dxa" w:w="1304"/>
            <w:shd w:val="clear" w:color="auto" w:fill="FFFFFF"/>
          </w:tcPr>
          <w:p>
            <w:pPr>
              <w:spacing w:before="60" w:after="60"/>
              <w:jc w:val="center"/>
            </w:pPr>
            <w:r>
              <w:rPr>
                <w:b w:val="0"/>
                <w:color w:val="C00000"/>
                <w:sz w:val="18"/>
              </w:rPr>
              <w:t>✗</w:t>
            </w:r>
          </w:p>
        </w:tc>
        <w:tc>
          <w:tcPr>
            <w:tcW w:type="dxa" w:w="1417"/>
            <w:shd w:val="clear" w:color="auto" w:fill="FFFFFF"/>
          </w:tcPr>
          <w:p>
            <w:pPr>
              <w:spacing w:before="60" w:after="60"/>
              <w:jc w:val="center"/>
            </w:pPr>
            <w:r>
              <w:rPr>
                <w:b/>
                <w:color w:val="1E7A45"/>
                <w:sz w:val="18"/>
              </w:rPr>
              <w:t>✓</w:t>
            </w:r>
          </w:p>
        </w:tc>
        <w:tc>
          <w:tcPr>
            <w:tcW w:type="dxa" w:w="737"/>
            <w:shd w:val="clear" w:color="auto" w:fill="FFFFFF"/>
          </w:tcPr>
          <w:p>
            <w:pPr>
              <w:spacing w:before="60" w:after="60"/>
              <w:jc w:val="center"/>
            </w:pPr>
            <w:r>
              <w:rPr>
                <w:b w:val="0"/>
                <w:color w:val="C00000"/>
                <w:sz w:val="18"/>
              </w:rPr>
              <w:t>✗</w:t>
            </w:r>
          </w:p>
        </w:tc>
      </w:tr>
      <w:tr>
        <w:tc>
          <w:tcPr>
            <w:tcW w:type="dxa" w:w="2268"/>
            <w:shd w:val="clear" w:color="auto" w:fill="F7F9FC"/>
          </w:tcPr>
          <w:p>
            <w:pPr>
              <w:spacing w:before="60" w:after="60"/>
            </w:pPr>
            <w:r>
              <w:rPr>
                <w:b/>
                <w:color w:val="1F3564"/>
                <w:sz w:val="18"/>
              </w:rPr>
              <w:t>NIC SDC Ops</w:t>
            </w:r>
          </w:p>
        </w:tc>
        <w:tc>
          <w:tcPr>
            <w:tcW w:type="dxa" w:w="1701"/>
            <w:shd w:val="clear" w:color="auto" w:fill="F7F9FC"/>
          </w:tcPr>
          <w:p>
            <w:pPr>
              <w:spacing w:before="60" w:after="60"/>
            </w:pPr>
            <w:r>
              <w:rPr>
                <w:b w:val="0"/>
                <w:sz w:val="18"/>
              </w:rPr>
              <w:t>No access</w:t>
            </w:r>
          </w:p>
        </w:tc>
        <w:tc>
          <w:tcPr>
            <w:tcW w:type="dxa" w:w="1020"/>
            <w:shd w:val="clear" w:color="auto" w:fill="F7F9FC"/>
          </w:tcPr>
          <w:p>
            <w:pPr>
              <w:spacing w:before="60" w:after="60"/>
              <w:jc w:val="center"/>
            </w:pPr>
            <w:r>
              <w:rPr>
                <w:b w:val="0"/>
                <w:color w:val="C00000"/>
                <w:sz w:val="18"/>
              </w:rPr>
              <w:t>✗</w:t>
            </w:r>
          </w:p>
        </w:tc>
        <w:tc>
          <w:tcPr>
            <w:tcW w:type="dxa" w:w="1417"/>
            <w:shd w:val="clear" w:color="auto" w:fill="F7F9FC"/>
          </w:tcPr>
          <w:p>
            <w:pPr>
              <w:spacing w:before="60" w:after="60"/>
              <w:jc w:val="center"/>
            </w:pPr>
            <w:r>
              <w:rPr>
                <w:b w:val="0"/>
                <w:color w:val="C00000"/>
                <w:sz w:val="18"/>
              </w:rPr>
              <w:t>✗</w:t>
            </w:r>
          </w:p>
        </w:tc>
        <w:tc>
          <w:tcPr>
            <w:tcW w:type="dxa" w:w="1304"/>
            <w:shd w:val="clear" w:color="auto" w:fill="F7F9FC"/>
          </w:tcPr>
          <w:p>
            <w:pPr>
              <w:spacing w:before="60" w:after="60"/>
              <w:jc w:val="center"/>
            </w:pPr>
            <w:r>
              <w:rPr>
                <w:b w:val="0"/>
                <w:color w:val="C00000"/>
                <w:sz w:val="18"/>
              </w:rPr>
              <w:t>✗</w:t>
            </w:r>
          </w:p>
        </w:tc>
        <w:tc>
          <w:tcPr>
            <w:tcW w:type="dxa" w:w="1417"/>
            <w:shd w:val="clear" w:color="auto" w:fill="F7F9FC"/>
          </w:tcPr>
          <w:p>
            <w:pPr>
              <w:spacing w:before="60" w:after="60"/>
              <w:jc w:val="center"/>
            </w:pPr>
            <w:r>
              <w:rPr>
                <w:b w:val="0"/>
                <w:color w:val="C00000"/>
                <w:sz w:val="18"/>
              </w:rPr>
              <w:t>✗</w:t>
            </w:r>
          </w:p>
        </w:tc>
        <w:tc>
          <w:tcPr>
            <w:tcW w:type="dxa" w:w="737"/>
            <w:shd w:val="clear" w:color="auto" w:fill="F7F9FC"/>
          </w:tcPr>
          <w:p>
            <w:pPr>
              <w:spacing w:before="60" w:after="60"/>
            </w:pPr>
            <w:r>
              <w:rPr>
                <w:b w:val="0"/>
                <w:sz w:val="18"/>
              </w:rPr>
              <w:t>✓ (VM level)</w:t>
            </w:r>
          </w:p>
        </w:tc>
      </w:tr>
    </w:tbl>
    <w:p>
      <w:pPr>
        <w:spacing w:before="0" w:after="12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1F3564"/>
            <w:vAlign w:val="center"/>
          </w:tcPr>
          <w:p>
            <w:pPr>
              <w:spacing w:before="140" w:after="140"/>
              <w:jc w:val="center"/>
            </w:pPr>
            <w:r>
              <w:rPr>
                <w:b/>
                <w:color w:val="FFFFFF"/>
                <w:sz w:val="22"/>
              </w:rPr>
              <w:t>KEY PRINCIPLE:  No single person has both secrets access AND production deploy access.</w:t>
            </w:r>
            <w:r>
              <w:rPr>
                <w:b w:val="0"/>
                <w:i/>
                <w:color w:val="FFFFFF"/>
                <w:sz w:val="17"/>
              </w:rPr>
              <w:br/>
              <w:t>Secrets are SOPS-encrypted in Git — readable only by the deployment key holder.</w:t>
              <w:br/>
              <w:t>Production deployments require PB-PROD GitHub team membership.</w:t>
            </w:r>
          </w:p>
        </w:tc>
      </w:tr>
    </w:tbl>
    <w:p>
      <w:pPr>
        <w:spacing w:before="0" w:after="0"/>
      </w:pPr>
    </w:p>
    <w:p>
      <w:pPr>
        <w:spacing w:before="0" w:after="120"/>
      </w:pPr>
    </w:p>
    <w:p>
      <w:pPr>
        <w:pStyle w:val="Heading3"/>
        <w:spacing w:before="160" w:after="80"/>
      </w:pPr>
      <w:r>
        <w:rPr>
          <w:b/>
          <w:color w:val="007987"/>
          <w:sz w:val="24"/>
        </w:rPr>
        <w:t>Kubernetes Cluster Access (RBAC)</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3400"/>
        <w:gridCol w:w="3400"/>
      </w:tblGrid>
      <w:tr>
        <w:tc>
          <w:tcPr>
            <w:tcW w:type="dxa" w:w="2948"/>
            <w:shd w:val="clear" w:color="auto" w:fill="1F3564"/>
          </w:tcPr>
          <w:p>
            <w:pPr>
              <w:spacing w:before="60" w:after="60"/>
            </w:pPr>
            <w:r>
              <w:rPr>
                <w:b/>
                <w:color w:val="FFFFFF"/>
                <w:sz w:val="19"/>
              </w:rPr>
              <w:t>IAM / Kubeconfig User</w:t>
            </w:r>
          </w:p>
        </w:tc>
        <w:tc>
          <w:tcPr>
            <w:tcW w:type="dxa" w:w="2721"/>
            <w:shd w:val="clear" w:color="auto" w:fill="1F3564"/>
          </w:tcPr>
          <w:p>
            <w:pPr>
              <w:spacing w:before="60" w:after="60"/>
            </w:pPr>
            <w:r>
              <w:rPr>
                <w:b/>
                <w:color w:val="FFFFFF"/>
                <w:sz w:val="19"/>
              </w:rPr>
              <w:t>Kubernetes Role</w:t>
            </w:r>
          </w:p>
        </w:tc>
        <w:tc>
          <w:tcPr>
            <w:tcW w:type="dxa" w:w="4195"/>
            <w:shd w:val="clear" w:color="auto" w:fill="1F3564"/>
          </w:tcPr>
          <w:p>
            <w:pPr>
              <w:spacing w:before="60" w:after="60"/>
            </w:pPr>
            <w:r>
              <w:rPr>
                <w:b/>
                <w:color w:val="FFFFFF"/>
                <w:sz w:val="19"/>
              </w:rPr>
              <w:t>What They Can Do</w:t>
            </w:r>
          </w:p>
        </w:tc>
      </w:tr>
      <w:tr>
        <w:tc>
          <w:tcPr>
            <w:tcW w:type="dxa" w:w="2948"/>
            <w:shd w:val="clear" w:color="auto" w:fill="F7F9FC"/>
          </w:tcPr>
          <w:p>
            <w:pPr>
              <w:spacing w:before="60" w:after="60"/>
            </w:pPr>
            <w:r>
              <w:rPr>
                <w:b/>
                <w:color w:val="1F3564"/>
                <w:sz w:val="18"/>
              </w:rPr>
              <w:t>kube-deployer (CI/CD service acct)</w:t>
            </w:r>
          </w:p>
        </w:tc>
        <w:tc>
          <w:tcPr>
            <w:tcW w:type="dxa" w:w="2721"/>
            <w:shd w:val="clear" w:color="auto" w:fill="F7F9FC"/>
          </w:tcPr>
          <w:p>
            <w:pPr>
              <w:spacing w:before="60" w:after="60"/>
            </w:pPr>
            <w:r>
              <w:rPr>
                <w:b w:val="0"/>
                <w:sz w:val="18"/>
              </w:rPr>
              <w:t>system:masters (Admin)</w:t>
            </w:r>
          </w:p>
        </w:tc>
        <w:tc>
          <w:tcPr>
            <w:tcW w:type="dxa" w:w="4195"/>
            <w:shd w:val="clear" w:color="auto" w:fill="F7F9FC"/>
          </w:tcPr>
          <w:p>
            <w:pPr>
              <w:spacing w:before="60" w:after="60"/>
            </w:pPr>
            <w:r>
              <w:rPr>
                <w:b w:val="0"/>
                <w:sz w:val="18"/>
              </w:rPr>
              <w:t>Full cluster — used by Jenkins to deploy via Helm</w:t>
            </w:r>
          </w:p>
        </w:tc>
      </w:tr>
      <w:tr>
        <w:tc>
          <w:tcPr>
            <w:tcW w:type="dxa" w:w="2948"/>
            <w:shd w:val="clear" w:color="auto" w:fill="FFFFFF"/>
          </w:tcPr>
          <w:p>
            <w:pPr>
              <w:spacing w:before="60" w:after="60"/>
            </w:pPr>
            <w:r>
              <w:rPr>
                <w:b/>
                <w:color w:val="1F3564"/>
                <w:sz w:val="18"/>
              </w:rPr>
              <w:t>kube-admin</w:t>
            </w:r>
          </w:p>
        </w:tc>
        <w:tc>
          <w:tcPr>
            <w:tcW w:type="dxa" w:w="2721"/>
            <w:shd w:val="clear" w:color="auto" w:fill="FFFFFF"/>
          </w:tcPr>
          <w:p>
            <w:pPr>
              <w:spacing w:before="60" w:after="60"/>
            </w:pPr>
            <w:r>
              <w:rPr>
                <w:b w:val="0"/>
                <w:sz w:val="18"/>
              </w:rPr>
              <w:t>global-readonly + digit-user</w:t>
            </w:r>
          </w:p>
        </w:tc>
        <w:tc>
          <w:tcPr>
            <w:tcW w:type="dxa" w:w="4195"/>
            <w:shd w:val="clear" w:color="auto" w:fill="FFFFFF"/>
          </w:tcPr>
          <w:p>
            <w:pPr>
              <w:spacing w:before="60" w:after="60"/>
            </w:pPr>
            <w:r>
              <w:rPr>
                <w:b w:val="0"/>
                <w:sz w:val="18"/>
              </w:rPr>
              <w:t>Read logs, describe pods, limited admin operations</w:t>
            </w:r>
          </w:p>
        </w:tc>
      </w:tr>
      <w:tr>
        <w:tc>
          <w:tcPr>
            <w:tcW w:type="dxa" w:w="2948"/>
            <w:shd w:val="clear" w:color="auto" w:fill="F7F9FC"/>
          </w:tcPr>
          <w:p>
            <w:pPr>
              <w:spacing w:before="60" w:after="60"/>
            </w:pPr>
            <w:r>
              <w:rPr>
                <w:b/>
                <w:color w:val="1F3564"/>
                <w:sz w:val="18"/>
              </w:rPr>
              <w:t>kube-user</w:t>
            </w:r>
          </w:p>
        </w:tc>
        <w:tc>
          <w:tcPr>
            <w:tcW w:type="dxa" w:w="2721"/>
            <w:shd w:val="clear" w:color="auto" w:fill="F7F9FC"/>
          </w:tcPr>
          <w:p>
            <w:pPr>
              <w:spacing w:before="60" w:after="60"/>
            </w:pPr>
            <w:r>
              <w:rPr>
                <w:b w:val="0"/>
                <w:sz w:val="18"/>
              </w:rPr>
              <w:t>global-readonly</w:t>
            </w:r>
          </w:p>
        </w:tc>
        <w:tc>
          <w:tcPr>
            <w:tcW w:type="dxa" w:w="4195"/>
            <w:shd w:val="clear" w:color="auto" w:fill="F7F9FC"/>
          </w:tcPr>
          <w:p>
            <w:pPr>
              <w:spacing w:before="60" w:after="60"/>
            </w:pPr>
            <w:r>
              <w:rPr>
                <w:b w:val="0"/>
                <w:sz w:val="18"/>
              </w:rPr>
              <w:t>Read-only view of all cluster resources</w:t>
            </w:r>
          </w:p>
        </w:tc>
      </w:tr>
    </w:tbl>
    <w:p>
      <w:pPr>
        <w:spacing w:before="0" w:after="12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C00000"/>
          </w:tcPr>
          <w:p>
            <w:pPr>
              <w:spacing w:before="120" w:after="120"/>
            </w:pPr>
            <w:r>
              <w:rPr>
                <w:b/>
                <w:color w:val="FFFFFF"/>
                <w:sz w:val="26"/>
              </w:rPr>
              <w:t xml:space="preserve">  9.  Security Architecture  —  Defence in Depth</w:t>
            </w:r>
          </w:p>
        </w:tc>
      </w:tr>
    </w:tbl>
    <w:p>
      <w:pPr>
        <w:spacing w:before="0" w:after="100"/>
      </w:pPr>
    </w:p>
    <w:p>
      <w:pPr>
        <w:spacing w:after="160" w:before="0"/>
        <w:jc w:val="left"/>
      </w:pPr>
      <w:r>
        <w:rPr>
          <w:b w:val="0"/>
          <w:i w:val="0"/>
          <w:sz w:val="21"/>
        </w:rPr>
        <w:t>Five independent security layers protect citizen data. An attacker must defeat all of them in sequence to reach any citizen information.</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C00000"/>
            <w:vAlign w:val="center"/>
          </w:tcPr>
          <w:p>
            <w:pPr>
              <w:spacing w:before="140" w:after="140"/>
              <w:jc w:val="center"/>
            </w:pPr>
            <w:r>
              <w:rPr>
                <w:b/>
                <w:color w:val="FFFFFF"/>
                <w:sz w:val="21"/>
              </w:rPr>
              <w:t>LAYER 1  —  NETWORK EDGE:  WAF (Web Application Firewall)  —  lua-resty-waf on Nginx, ACTIVE blocking mode</w:t>
            </w:r>
            <w:r>
              <w:rPr>
                <w:b w:val="0"/>
                <w:i/>
                <w:color w:val="FFFFFF"/>
                <w:sz w:val="16"/>
              </w:rPr>
              <w:br/>
              <w:t>Automatically blocks: SQL injection, Cross-site scripting (XSS), path traversal attacks, malicious bots. Threat score threshold: 10 — any request scoring above 10 is blocked immediately.</w:t>
            </w:r>
          </w:p>
        </w:tc>
      </w:tr>
    </w:tbl>
    <w:p>
      <w:pPr>
        <w:spacing w:before="0" w:after="0"/>
      </w:pPr>
    </w:p>
    <w:p>
      <w:pPr>
        <w:spacing w:before="0" w:after="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840000"/>
            <w:vAlign w:val="center"/>
          </w:tcPr>
          <w:p>
            <w:pPr>
              <w:spacing w:before="140" w:after="140"/>
              <w:jc w:val="center"/>
            </w:pPr>
            <w:r>
              <w:rPr>
                <w:b/>
                <w:color w:val="FFFFFF"/>
                <w:sz w:val="21"/>
              </w:rPr>
              <w:t>LAYER 2  —  ENCRYPTION IN TRANSIT:  TLS 1.3 only  —  Forward-secrecy cipher suites (EECDH+CHACHA20, EECDH+AES)</w:t>
            </w:r>
            <w:r>
              <w:rPr>
                <w:b w:val="0"/>
                <w:i/>
                <w:color w:val="FFFFFF"/>
                <w:sz w:val="16"/>
              </w:rPr>
              <w:br/>
              <w:t>All communication between citizen and server is encrypted. TLS 1.0 and 1.1 are disabled. Even if traffic is intercepted, it cannot be decrypted without the session key.</w:t>
            </w:r>
          </w:p>
        </w:tc>
      </w:tr>
    </w:tbl>
    <w:p>
      <w:pPr>
        <w:spacing w:before="0" w:after="0"/>
      </w:pPr>
    </w:p>
    <w:p>
      <w:pPr>
        <w:spacing w:before="0" w:after="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ED7D31"/>
            <w:vAlign w:val="center"/>
          </w:tcPr>
          <w:p>
            <w:pPr>
              <w:spacing w:before="140" w:after="140"/>
              <w:jc w:val="center"/>
            </w:pPr>
            <w:r>
              <w:rPr>
                <w:b/>
                <w:color w:val="FFFFFF"/>
                <w:sz w:val="21"/>
              </w:rPr>
              <w:t>LAYER 3  —  AUTHENTICATION:  Zuul API Gateway  —  OAuth 2.0 token validation on every single request</w:t>
            </w:r>
            <w:r>
              <w:rPr>
                <w:b w:val="0"/>
                <w:i/>
                <w:color w:val="FFFFFF"/>
                <w:sz w:val="16"/>
              </w:rPr>
              <w:br/>
              <w:t>Every API call must carry a valid login token. Zuul rejects unauthenticated requests before they reach any microservice. Only 6 endpoints are public (login, OTP, localization).</w:t>
            </w:r>
          </w:p>
        </w:tc>
      </w:tr>
    </w:tbl>
    <w:p>
      <w:pPr>
        <w:spacing w:before="0" w:after="0"/>
      </w:pPr>
    </w:p>
    <w:p>
      <w:pPr>
        <w:spacing w:before="0" w:after="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2E74B5"/>
            <w:vAlign w:val="center"/>
          </w:tcPr>
          <w:p>
            <w:pPr>
              <w:spacing w:before="140" w:after="140"/>
              <w:jc w:val="center"/>
            </w:pPr>
            <w:r>
              <w:rPr>
                <w:b/>
                <w:color w:val="FFFFFF"/>
                <w:sz w:val="21"/>
              </w:rPr>
              <w:t>LAYER 4  —  SECRETS PROTECTION:  Mozilla SOPS Encryption  —  All passwords/keys encrypted in Git</w:t>
            </w:r>
            <w:r>
              <w:rPr>
                <w:b w:val="0"/>
                <w:i/>
                <w:color w:val="FFFFFF"/>
                <w:sz w:val="16"/>
              </w:rPr>
              <w:br/>
              <w:t>DB passwords, SMS credentials, API keys are encrypted with SOPS before committing to Git. Plaintext never exists in the repository. Only the holder of the decryption key can read them at deploy time.</w:t>
            </w:r>
          </w:p>
        </w:tc>
      </w:tr>
    </w:tbl>
    <w:p>
      <w:pPr>
        <w:spacing w:before="0" w:after="0"/>
      </w:pPr>
    </w:p>
    <w:p>
      <w:pPr>
        <w:spacing w:before="0" w:after="6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1F3564"/>
            <w:vAlign w:val="center"/>
          </w:tcPr>
          <w:p>
            <w:pPr>
              <w:spacing w:before="140" w:after="140"/>
              <w:jc w:val="center"/>
            </w:pPr>
            <w:r>
              <w:rPr>
                <w:b/>
                <w:color w:val="FFFFFF"/>
                <w:sz w:val="21"/>
              </w:rPr>
              <w:t>LAYER 5  —  CLUSTER ISOLATION:  Kubernetes RBAC  —  Role-based access inside the cluster</w:t>
            </w:r>
            <w:r>
              <w:rPr>
                <w:b w:val="0"/>
                <w:i/>
                <w:color w:val="FFFFFF"/>
                <w:sz w:val="16"/>
              </w:rPr>
              <w:br/>
              <w:t>Separate Kubernetes roles for deploy, admin, and read-only users. Namespaces isolate workloads: egov, backbone, kafka-cluster, es-cluster, monitoring. Services cannot access each other's namespaces without explicit policy.</w:t>
            </w:r>
          </w:p>
        </w:tc>
      </w:tr>
    </w:tbl>
    <w:p>
      <w:pPr>
        <w:spacing w:before="0" w:after="0"/>
      </w:pPr>
    </w:p>
    <w:p>
      <w:pPr>
        <w:spacing w:before="0" w:after="60"/>
      </w:pPr>
    </w:p>
    <w:p>
      <w:pPr>
        <w:spacing w:before="0" w:after="80"/>
      </w:pPr>
    </w:p>
    <w:p>
      <w:pPr>
        <w:pStyle w:val="Heading3"/>
        <w:spacing w:before="160" w:after="80"/>
      </w:pPr>
      <w:r>
        <w:rPr>
          <w:b/>
          <w:color w:val="007987"/>
          <w:sz w:val="24"/>
        </w:rPr>
        <w:t>Open vs Protected API Endpoints</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100"/>
        <w:gridCol w:w="5100"/>
      </w:tblGrid>
      <w:tr>
        <w:tc>
          <w:tcPr>
            <w:tcW w:type="dxa" w:w="4932"/>
            <w:shd w:val="clear" w:color="auto" w:fill="70AD47"/>
            <w:vAlign w:val="center"/>
          </w:tcPr>
          <w:p>
            <w:pPr>
              <w:spacing w:before="120" w:after="120"/>
              <w:jc w:val="center"/>
            </w:pPr>
            <w:r>
              <w:rPr>
                <w:b/>
                <w:color w:val="FFFFFF"/>
                <w:sz w:val="19"/>
              </w:rPr>
              <w:t>OPEN ENDPOINTS</w:t>
              <w:br/>
              <w:t>(No Login Required)</w:t>
              <w:br/>
              <w:br/>
              <w:t>/user/citizen/_create</w:t>
              <w:br/>
              <w:t>/user/oauth/token  (login)</w:t>
              <w:br/>
              <w:t>/user-otp/v1/_send  (OTP)</w:t>
              <w:br/>
              <w:t>/localization/messages</w:t>
              <w:br/>
              <w:t>/egov-mdms-service/v1/_search</w:t>
              <w:br/>
              <w:t>/whatsapp-webhook/messages</w:t>
            </w:r>
          </w:p>
        </w:tc>
        <w:tc>
          <w:tcPr>
            <w:tcW w:type="dxa" w:w="4932"/>
            <w:shd w:val="clear" w:color="auto" w:fill="C00000"/>
            <w:vAlign w:val="center"/>
          </w:tcPr>
          <w:p>
            <w:pPr>
              <w:spacing w:before="120" w:after="120"/>
              <w:jc w:val="center"/>
            </w:pPr>
            <w:r>
              <w:rPr>
                <w:b/>
                <w:color w:val="FFFFFF"/>
                <w:sz w:val="19"/>
              </w:rPr>
              <w:t>ALL OTHER ENDPOINTS</w:t>
              <w:br/>
              <w:t>(OAuth Token Required)</w:t>
              <w:br/>
              <w:br/>
              <w:t>Property Tax  |  Trade License</w:t>
              <w:br/>
              <w:t>Billing  |  Payments  |  PGR</w:t>
              <w:br/>
              <w:t>HRMS  |  Finance  |  BPA</w:t>
              <w:br/>
              <w:t>Water/Sewerage  |  NDC</w:t>
              <w:br/>
              <w:t>Data upload  |  Reports</w:t>
              <w:br/>
              <w:t>Admin operations</w:t>
            </w:r>
          </w:p>
        </w:tc>
      </w:tr>
    </w:tbl>
    <w:p>
      <w:pPr>
        <w:spacing w:before="0" w:after="0"/>
      </w:pPr>
    </w:p>
    <w:p>
      <w:pPr>
        <w:spacing w:before="0" w:after="16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7030A0"/>
          </w:tcPr>
          <w:p>
            <w:pPr>
              <w:spacing w:before="120" w:after="120"/>
            </w:pPr>
            <w:r>
              <w:rPr>
                <w:b/>
                <w:color w:val="FFFFFF"/>
                <w:sz w:val="26"/>
              </w:rPr>
              <w:t xml:space="preserve">  10.  Monitoring, Alerting &amp; Observability</w:t>
            </w:r>
          </w:p>
        </w:tc>
      </w:tr>
    </w:tbl>
    <w:p>
      <w:pPr>
        <w:spacing w:before="0" w:after="100"/>
      </w:pPr>
    </w:p>
    <w:p>
      <w:pPr>
        <w:spacing w:after="160" w:before="0"/>
        <w:jc w:val="left"/>
      </w:pPr>
      <w:r>
        <w:rPr>
          <w:b w:val="0"/>
          <w:i w:val="0"/>
          <w:sz w:val="21"/>
        </w:rPr>
        <w:t>Three monitoring systems run 24/7 on the SDC cluster. Together they answer: What happened? How fast is it? Which service caused the slowdown?</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3400"/>
        <w:gridCol w:w="3400"/>
        <w:gridCol w:w="3400"/>
      </w:tblGrid>
      <w:tr>
        <w:tc>
          <w:tcPr>
            <w:tcW w:type="dxa" w:w="3288"/>
            <w:shd w:val="clear" w:color="auto" w:fill="2E74B5"/>
            <w:vAlign w:val="center"/>
          </w:tcPr>
          <w:p>
            <w:pPr>
              <w:spacing w:before="120" w:after="120"/>
              <w:jc w:val="center"/>
            </w:pPr>
            <w:r>
              <w:rPr>
                <w:b/>
                <w:color w:val="FFFFFF"/>
                <w:sz w:val="19"/>
              </w:rPr>
              <w:t>LOGS</w:t>
              <w:br/>
              <w:t>What happened?</w:t>
              <w:br/>
              <w:t>Full text of every</w:t>
              <w:br/>
              <w:t>service action</w:t>
            </w:r>
          </w:p>
        </w:tc>
        <w:tc>
          <w:tcPr>
            <w:tcW w:type="dxa" w:w="3288"/>
            <w:shd w:val="clear" w:color="auto" w:fill="7030A0"/>
            <w:vAlign w:val="center"/>
          </w:tcPr>
          <w:p>
            <w:pPr>
              <w:spacing w:before="120" w:after="120"/>
              <w:jc w:val="center"/>
            </w:pPr>
            <w:r>
              <w:rPr>
                <w:b/>
                <w:color w:val="FFFFFF"/>
                <w:sz w:val="19"/>
              </w:rPr>
              <w:t>METRICS</w:t>
              <w:br/>
              <w:t>How fast / how much?</w:t>
              <w:br/>
              <w:t>CPU, memory, request</w:t>
              <w:br/>
              <w:t>count, latency</w:t>
            </w:r>
          </w:p>
        </w:tc>
        <w:tc>
          <w:tcPr>
            <w:tcW w:type="dxa" w:w="3288"/>
            <w:shd w:val="clear" w:color="auto" w:fill="007987"/>
            <w:vAlign w:val="center"/>
          </w:tcPr>
          <w:p>
            <w:pPr>
              <w:spacing w:before="120" w:after="120"/>
              <w:jc w:val="center"/>
            </w:pPr>
            <w:r>
              <w:rPr>
                <w:b/>
                <w:color w:val="FFFFFF"/>
                <w:sz w:val="19"/>
              </w:rPr>
              <w:t>TRACES</w:t>
              <w:br/>
              <w:t>Which service was slow?</w:t>
              <w:br/>
              <w:t>Full request path</w:t>
              <w:br/>
              <w:t>across microservices</w:t>
            </w:r>
          </w:p>
        </w:tc>
      </w:tr>
    </w:tbl>
    <w:p>
      <w:pPr>
        <w:spacing w:before="0" w:after="0"/>
      </w:pPr>
    </w:p>
    <w:p>
      <w:pPr>
        <w:spacing w:before="0" w:after="80"/>
      </w:pP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0"/>
        <w:gridCol w:w="2550"/>
        <w:gridCol w:w="2550"/>
        <w:gridCol w:w="2550"/>
      </w:tblGrid>
      <w:tr>
        <w:tc>
          <w:tcPr>
            <w:tcW w:type="dxa" w:w="1814"/>
            <w:shd w:val="clear" w:color="auto" w:fill="7030A0"/>
          </w:tcPr>
          <w:p>
            <w:pPr>
              <w:spacing w:before="60" w:after="60"/>
            </w:pPr>
            <w:r>
              <w:rPr>
                <w:b/>
                <w:color w:val="FFFFFF"/>
                <w:sz w:val="19"/>
              </w:rPr>
            </w:r>
          </w:p>
        </w:tc>
        <w:tc>
          <w:tcPr>
            <w:tcW w:type="dxa" w:w="2721"/>
            <w:shd w:val="clear" w:color="auto" w:fill="7030A0"/>
          </w:tcPr>
          <w:p>
            <w:pPr>
              <w:spacing w:before="60" w:after="60"/>
            </w:pPr>
            <w:r>
              <w:rPr>
                <w:b/>
                <w:color w:val="FFFFFF"/>
                <w:sz w:val="19"/>
              </w:rPr>
              <w:t>LOGS</w:t>
            </w:r>
          </w:p>
        </w:tc>
        <w:tc>
          <w:tcPr>
            <w:tcW w:type="dxa" w:w="2721"/>
            <w:shd w:val="clear" w:color="auto" w:fill="7030A0"/>
          </w:tcPr>
          <w:p>
            <w:pPr>
              <w:spacing w:before="60" w:after="60"/>
            </w:pPr>
            <w:r>
              <w:rPr>
                <w:b/>
                <w:color w:val="FFFFFF"/>
                <w:sz w:val="19"/>
              </w:rPr>
              <w:t>METRICS</w:t>
            </w:r>
          </w:p>
        </w:tc>
        <w:tc>
          <w:tcPr>
            <w:tcW w:type="dxa" w:w="2608"/>
            <w:shd w:val="clear" w:color="auto" w:fill="7030A0"/>
          </w:tcPr>
          <w:p>
            <w:pPr>
              <w:spacing w:before="60" w:after="60"/>
            </w:pPr>
            <w:r>
              <w:rPr>
                <w:b/>
                <w:color w:val="FFFFFF"/>
                <w:sz w:val="19"/>
              </w:rPr>
              <w:t>TRACES</w:t>
            </w:r>
          </w:p>
        </w:tc>
      </w:tr>
      <w:tr>
        <w:tc>
          <w:tcPr>
            <w:tcW w:type="dxa" w:w="1814"/>
            <w:shd w:val="clear" w:color="auto" w:fill="F7F9FC"/>
          </w:tcPr>
          <w:p>
            <w:pPr>
              <w:spacing w:before="60" w:after="60"/>
            </w:pPr>
            <w:r>
              <w:rPr>
                <w:b/>
                <w:color w:val="1F3564"/>
                <w:sz w:val="18"/>
              </w:rPr>
              <w:t>Tool</w:t>
            </w:r>
          </w:p>
        </w:tc>
        <w:tc>
          <w:tcPr>
            <w:tcW w:type="dxa" w:w="2721"/>
            <w:shd w:val="clear" w:color="auto" w:fill="F7F9FC"/>
          </w:tcPr>
          <w:p>
            <w:pPr>
              <w:spacing w:before="60" w:after="60"/>
            </w:pPr>
            <w:r>
              <w:rPr>
                <w:b w:val="0"/>
                <w:sz w:val="18"/>
              </w:rPr>
              <w:t>Fluent-bit → Kafka → Elasticsearch → Kibana</w:t>
            </w:r>
          </w:p>
        </w:tc>
        <w:tc>
          <w:tcPr>
            <w:tcW w:type="dxa" w:w="2721"/>
            <w:shd w:val="clear" w:color="auto" w:fill="F7F9FC"/>
          </w:tcPr>
          <w:p>
            <w:pPr>
              <w:spacing w:before="60" w:after="60"/>
            </w:pPr>
            <w:r>
              <w:rPr>
                <w:b w:val="0"/>
                <w:sz w:val="18"/>
              </w:rPr>
              <w:t>Prometheus → Grafana → Alertmanager</w:t>
            </w:r>
          </w:p>
        </w:tc>
        <w:tc>
          <w:tcPr>
            <w:tcW w:type="dxa" w:w="2608"/>
            <w:shd w:val="clear" w:color="auto" w:fill="F7F9FC"/>
          </w:tcPr>
          <w:p>
            <w:pPr>
              <w:spacing w:before="60" w:after="60"/>
            </w:pPr>
            <w:r>
              <w:rPr>
                <w:b w:val="0"/>
                <w:sz w:val="18"/>
              </w:rPr>
              <w:t>Jaeger</w:t>
            </w:r>
          </w:p>
        </w:tc>
      </w:tr>
      <w:tr>
        <w:tc>
          <w:tcPr>
            <w:tcW w:type="dxa" w:w="1814"/>
            <w:shd w:val="clear" w:color="auto" w:fill="FFFFFF"/>
          </w:tcPr>
          <w:p>
            <w:pPr>
              <w:spacing w:before="60" w:after="60"/>
            </w:pPr>
            <w:r>
              <w:rPr>
                <w:b/>
                <w:color w:val="1F3564"/>
                <w:sz w:val="18"/>
              </w:rPr>
              <w:t>What it shows</w:t>
            </w:r>
          </w:p>
        </w:tc>
        <w:tc>
          <w:tcPr>
            <w:tcW w:type="dxa" w:w="2721"/>
            <w:shd w:val="clear" w:color="auto" w:fill="FFFFFF"/>
          </w:tcPr>
          <w:p>
            <w:pPr>
              <w:spacing w:before="60" w:after="60"/>
            </w:pPr>
            <w:r>
              <w:rPr>
                <w:b w:val="0"/>
                <w:sz w:val="18"/>
              </w:rPr>
              <w:t>Every log line from every pod:</w:t>
              <w:br/>
              <w:t>errors, warnings, exceptions, info</w:t>
            </w:r>
          </w:p>
        </w:tc>
        <w:tc>
          <w:tcPr>
            <w:tcW w:type="dxa" w:w="2721"/>
            <w:shd w:val="clear" w:color="auto" w:fill="FFFFFF"/>
          </w:tcPr>
          <w:p>
            <w:pPr>
              <w:spacing w:before="60" w:after="60"/>
            </w:pPr>
            <w:r>
              <w:rPr>
                <w:b w:val="0"/>
                <w:sz w:val="18"/>
              </w:rPr>
              <w:t>CPU, memory, request count,</w:t>
              <w:br/>
              <w:t>response time, disk I/O</w:t>
            </w:r>
          </w:p>
        </w:tc>
        <w:tc>
          <w:tcPr>
            <w:tcW w:type="dxa" w:w="2608"/>
            <w:shd w:val="clear" w:color="auto" w:fill="FFFFFF"/>
          </w:tcPr>
          <w:p>
            <w:pPr>
              <w:spacing w:before="60" w:after="60"/>
            </w:pPr>
            <w:r>
              <w:rPr>
                <w:b w:val="0"/>
                <w:sz w:val="18"/>
              </w:rPr>
              <w:t>The full journey of one request</w:t>
              <w:br/>
              <w:t>across all services it touched</w:t>
            </w:r>
          </w:p>
        </w:tc>
      </w:tr>
      <w:tr>
        <w:tc>
          <w:tcPr>
            <w:tcW w:type="dxa" w:w="1814"/>
            <w:shd w:val="clear" w:color="auto" w:fill="F7F9FC"/>
          </w:tcPr>
          <w:p>
            <w:pPr>
              <w:spacing w:before="60" w:after="60"/>
            </w:pPr>
            <w:r>
              <w:rPr>
                <w:b/>
                <w:color w:val="1F3564"/>
                <w:sz w:val="18"/>
              </w:rPr>
              <w:t>View at</w:t>
            </w:r>
          </w:p>
        </w:tc>
        <w:tc>
          <w:tcPr>
            <w:tcW w:type="dxa" w:w="2721"/>
            <w:shd w:val="clear" w:color="auto" w:fill="F7F9FC"/>
          </w:tcPr>
          <w:p>
            <w:pPr>
              <w:spacing w:before="60" w:after="60"/>
            </w:pPr>
            <w:r>
              <w:rPr>
                <w:b w:val="0"/>
                <w:sz w:val="18"/>
              </w:rPr>
              <w:t>/kibana (app logs)</w:t>
              <w:br/>
              <w:t>/kibana-infra (system logs)</w:t>
            </w:r>
          </w:p>
        </w:tc>
        <w:tc>
          <w:tcPr>
            <w:tcW w:type="dxa" w:w="2721"/>
            <w:shd w:val="clear" w:color="auto" w:fill="F7F9FC"/>
          </w:tcPr>
          <w:p>
            <w:pPr>
              <w:spacing w:before="60" w:after="60"/>
            </w:pPr>
            <w:r>
              <w:rPr>
                <w:b w:val="0"/>
                <w:sz w:val="18"/>
              </w:rPr>
              <w:t>Grafana dashboards (pre-built)</w:t>
            </w:r>
          </w:p>
        </w:tc>
        <w:tc>
          <w:tcPr>
            <w:tcW w:type="dxa" w:w="2608"/>
            <w:shd w:val="clear" w:color="auto" w:fill="F7F9FC"/>
          </w:tcPr>
          <w:p>
            <w:pPr>
              <w:spacing w:before="60" w:after="60"/>
            </w:pPr>
            <w:r>
              <w:rPr>
                <w:b w:val="0"/>
                <w:sz w:val="18"/>
              </w:rPr>
              <w:t>Jaeger UI — search by service</w:t>
              <w:br/>
              <w:t>or request ID</w:t>
            </w:r>
          </w:p>
        </w:tc>
      </w:tr>
      <w:tr>
        <w:tc>
          <w:tcPr>
            <w:tcW w:type="dxa" w:w="1814"/>
            <w:shd w:val="clear" w:color="auto" w:fill="FFFFFF"/>
          </w:tcPr>
          <w:p>
            <w:pPr>
              <w:spacing w:before="60" w:after="60"/>
            </w:pPr>
            <w:r>
              <w:rPr>
                <w:b/>
                <w:color w:val="1F3564"/>
                <w:sz w:val="18"/>
              </w:rPr>
              <w:t>Alerts when</w:t>
            </w:r>
          </w:p>
        </w:tc>
        <w:tc>
          <w:tcPr>
            <w:tcW w:type="dxa" w:w="2721"/>
            <w:shd w:val="clear" w:color="auto" w:fill="FFFFFF"/>
          </w:tcPr>
          <w:p>
            <w:pPr>
              <w:spacing w:before="60" w:after="60"/>
            </w:pPr>
            <w:r>
              <w:rPr>
                <w:b w:val="0"/>
                <w:sz w:val="18"/>
              </w:rPr>
              <w:t>Manual log search</w:t>
              <w:br/>
              <w:t>(no auto-alert on content)</w:t>
            </w:r>
          </w:p>
        </w:tc>
        <w:tc>
          <w:tcPr>
            <w:tcW w:type="dxa" w:w="2721"/>
            <w:shd w:val="clear" w:color="auto" w:fill="FFFFFF"/>
          </w:tcPr>
          <w:p>
            <w:pPr>
              <w:spacing w:before="60" w:after="60"/>
            </w:pPr>
            <w:r>
              <w:rPr>
                <w:b w:val="0"/>
                <w:sz w:val="18"/>
              </w:rPr>
              <w:t>CPU spike, pod crash,</w:t>
              <w:br/>
              <w:t>memory limit exceeded</w:t>
            </w:r>
          </w:p>
        </w:tc>
        <w:tc>
          <w:tcPr>
            <w:tcW w:type="dxa" w:w="2608"/>
            <w:shd w:val="clear" w:color="auto" w:fill="FFFFFF"/>
          </w:tcPr>
          <w:p>
            <w:pPr>
              <w:spacing w:before="60" w:after="60"/>
            </w:pPr>
            <w:r>
              <w:rPr>
                <w:b w:val="0"/>
                <w:sz w:val="18"/>
              </w:rPr>
              <w:t>No direct alerts — post-incident</w:t>
              <w:br/>
              <w:t>diagnosis tool</w:t>
            </w:r>
          </w:p>
        </w:tc>
      </w:tr>
      <w:tr>
        <w:tc>
          <w:tcPr>
            <w:tcW w:type="dxa" w:w="1814"/>
            <w:shd w:val="clear" w:color="auto" w:fill="F7F9FC"/>
          </w:tcPr>
          <w:p>
            <w:pPr>
              <w:spacing w:before="60" w:after="60"/>
            </w:pPr>
            <w:r>
              <w:rPr>
                <w:b/>
                <w:color w:val="1F3564"/>
                <w:sz w:val="18"/>
              </w:rPr>
              <w:t>Retention</w:t>
            </w:r>
          </w:p>
        </w:tc>
        <w:tc>
          <w:tcPr>
            <w:tcW w:type="dxa" w:w="2721"/>
            <w:shd w:val="clear" w:color="auto" w:fill="F7F9FC"/>
          </w:tcPr>
          <w:p>
            <w:pPr>
              <w:spacing w:before="60" w:after="60"/>
            </w:pPr>
            <w:r>
              <w:rPr>
                <w:b w:val="0"/>
                <w:sz w:val="18"/>
              </w:rPr>
              <w:t>7 days (ES Curator auto-deletes)</w:t>
            </w:r>
          </w:p>
        </w:tc>
        <w:tc>
          <w:tcPr>
            <w:tcW w:type="dxa" w:w="2721"/>
            <w:shd w:val="clear" w:color="auto" w:fill="F7F9FC"/>
          </w:tcPr>
          <w:p>
            <w:pPr>
              <w:spacing w:before="60" w:after="60"/>
            </w:pPr>
            <w:r>
              <w:rPr>
                <w:b w:val="0"/>
                <w:sz w:val="18"/>
              </w:rPr>
              <w:t>Prometheus TSDB (until disk full)</w:t>
            </w:r>
          </w:p>
        </w:tc>
        <w:tc>
          <w:tcPr>
            <w:tcW w:type="dxa" w:w="2608"/>
            <w:shd w:val="clear" w:color="auto" w:fill="F7F9FC"/>
          </w:tcPr>
          <w:p>
            <w:pPr>
              <w:spacing w:before="60" w:after="60"/>
            </w:pPr>
            <w:r>
              <w:rPr>
                <w:b w:val="0"/>
                <w:sz w:val="18"/>
              </w:rPr>
              <w:t>7 days (Jaeger indices deleted)</w:t>
            </w:r>
          </w:p>
        </w:tc>
      </w:tr>
    </w:tbl>
    <w:p>
      <w:pPr>
        <w:spacing w:before="0" w:after="120"/>
      </w:pPr>
    </w:p>
    <w:p>
      <w:pPr>
        <w:pStyle w:val="Heading3"/>
        <w:spacing w:before="160" w:after="80"/>
      </w:pPr>
      <w:r>
        <w:rPr>
          <w:b/>
          <w:color w:val="007987"/>
          <w:sz w:val="24"/>
        </w:rPr>
        <w:t>Logging Pipeline on SDC</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33"/>
        <w:gridCol w:w="1133"/>
        <w:gridCol w:w="1133"/>
        <w:gridCol w:w="1133"/>
        <w:gridCol w:w="1133"/>
        <w:gridCol w:w="1133"/>
        <w:gridCol w:w="1133"/>
        <w:gridCol w:w="1133"/>
        <w:gridCol w:w="1133"/>
      </w:tblGrid>
      <w:tr>
        <w:tc>
          <w:tcPr>
            <w:tcW w:type="dxa" w:w="1723"/>
            <w:shd w:val="clear" w:color="auto" w:fill="404040"/>
            <w:vAlign w:val="center"/>
          </w:tcPr>
          <w:p>
            <w:pPr>
              <w:spacing w:before="140" w:after="140"/>
              <w:jc w:val="center"/>
            </w:pPr>
            <w:r>
              <w:rPr>
                <w:b/>
                <w:color w:val="FFFFFF"/>
                <w:sz w:val="18"/>
              </w:rPr>
              <w:t>Pod stdout/stderr</w:t>
              <w:br/>
              <w:t>every microservice</w:t>
              <w:br/>
              <w:t>on every node</w:t>
            </w:r>
          </w:p>
        </w:tc>
        <w:tc>
          <w:tcPr>
            <w:tcW w:type="dxa" w:w="312"/>
            <w:shd w:val="clear" w:color="auto" w:fill="FFFFFF"/>
            <w:vAlign w:val="center"/>
          </w:tcPr>
          <w:p>
            <w:pPr>
              <w:jc w:val="center"/>
            </w:pPr>
            <w:r>
              <w:rPr>
                <w:color w:val="808080"/>
                <w:sz w:val="28"/>
              </w:rPr>
              <w:t>→</w:t>
            </w:r>
          </w:p>
        </w:tc>
        <w:tc>
          <w:tcPr>
            <w:tcW w:type="dxa" w:w="1723"/>
            <w:shd w:val="clear" w:color="auto" w:fill="2E74B5"/>
            <w:vAlign w:val="center"/>
          </w:tcPr>
          <w:p>
            <w:pPr>
              <w:spacing w:before="140" w:after="140"/>
              <w:jc w:val="center"/>
            </w:pPr>
            <w:r>
              <w:rPr>
                <w:b/>
                <w:color w:val="FFFFFF"/>
                <w:sz w:val="18"/>
              </w:rPr>
              <w:t>Fluent-bit</w:t>
              <w:br/>
              <w:t>DaemonSet</w:t>
              <w:br/>
              <w:t>(runs on each node)</w:t>
            </w:r>
          </w:p>
        </w:tc>
        <w:tc>
          <w:tcPr>
            <w:tcW w:type="dxa" w:w="312"/>
            <w:shd w:val="clear" w:color="auto" w:fill="FFFFFF"/>
            <w:vAlign w:val="center"/>
          </w:tcPr>
          <w:p>
            <w:pPr>
              <w:jc w:val="center"/>
            </w:pPr>
            <w:r>
              <w:rPr>
                <w:color w:val="808080"/>
                <w:sz w:val="28"/>
              </w:rPr>
              <w:t>→</w:t>
            </w:r>
          </w:p>
        </w:tc>
        <w:tc>
          <w:tcPr>
            <w:tcW w:type="dxa" w:w="1723"/>
            <w:shd w:val="clear" w:color="auto" w:fill="1F3564"/>
            <w:vAlign w:val="center"/>
          </w:tcPr>
          <w:p>
            <w:pPr>
              <w:spacing w:before="140" w:after="140"/>
              <w:jc w:val="center"/>
            </w:pPr>
            <w:r>
              <w:rPr>
                <w:b/>
                <w:color w:val="FFFFFF"/>
                <w:sz w:val="18"/>
              </w:rPr>
              <w:t>Kafka Topic</w:t>
              <w:br/>
              <w:t>egov-services-logs</w:t>
              <w:br/>
              <w:t>egov-infra-logs</w:t>
            </w:r>
          </w:p>
        </w:tc>
        <w:tc>
          <w:tcPr>
            <w:tcW w:type="dxa" w:w="312"/>
            <w:shd w:val="clear" w:color="auto" w:fill="FFFFFF"/>
            <w:vAlign w:val="center"/>
          </w:tcPr>
          <w:p>
            <w:pPr>
              <w:jc w:val="center"/>
            </w:pPr>
            <w:r>
              <w:rPr>
                <w:color w:val="808080"/>
                <w:sz w:val="28"/>
              </w:rPr>
              <w:t>→</w:t>
            </w:r>
          </w:p>
        </w:tc>
        <w:tc>
          <w:tcPr>
            <w:tcW w:type="dxa" w:w="1723"/>
            <w:shd w:val="clear" w:color="auto" w:fill="007987"/>
            <w:vAlign w:val="center"/>
          </w:tcPr>
          <w:p>
            <w:pPr>
              <w:spacing w:before="140" w:after="140"/>
              <w:jc w:val="center"/>
            </w:pPr>
            <w:r>
              <w:rPr>
                <w:b/>
                <w:color w:val="FFFFFF"/>
                <w:sz w:val="18"/>
              </w:rPr>
              <w:t>Kafka Connect</w:t>
              <w:br/>
              <w:t>pushes to</w:t>
              <w:br/>
              <w:t>Elasticsearch</w:t>
            </w:r>
          </w:p>
        </w:tc>
        <w:tc>
          <w:tcPr>
            <w:tcW w:type="dxa" w:w="312"/>
            <w:shd w:val="clear" w:color="auto" w:fill="FFFFFF"/>
            <w:vAlign w:val="center"/>
          </w:tcPr>
          <w:p>
            <w:pPr>
              <w:jc w:val="center"/>
            </w:pPr>
            <w:r>
              <w:rPr>
                <w:color w:val="808080"/>
                <w:sz w:val="28"/>
              </w:rPr>
              <w:t>→</w:t>
            </w:r>
          </w:p>
        </w:tc>
        <w:tc>
          <w:tcPr>
            <w:tcW w:type="dxa" w:w="1723"/>
            <w:shd w:val="clear" w:color="auto" w:fill="7030A0"/>
            <w:vAlign w:val="center"/>
          </w:tcPr>
          <w:p>
            <w:pPr>
              <w:spacing w:before="140" w:after="140"/>
              <w:jc w:val="center"/>
            </w:pPr>
            <w:r>
              <w:rPr>
                <w:b/>
                <w:color w:val="FFFFFF"/>
                <w:sz w:val="18"/>
              </w:rPr>
              <w:t>Kibana</w:t>
              <w:br/>
              <w:t>Search &amp; visualise</w:t>
              <w:br/>
              <w:t>logs by service</w:t>
            </w:r>
          </w:p>
        </w:tc>
      </w:tr>
    </w:tbl>
    <w:p>
      <w:pPr>
        <w:spacing w:before="0" w:after="0"/>
      </w:pPr>
    </w:p>
    <w:p>
      <w:pPr>
        <w:spacing w:before="0" w:after="16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C00000"/>
          </w:tcPr>
          <w:p>
            <w:pPr>
              <w:spacing w:before="120" w:after="120"/>
            </w:pPr>
            <w:r>
              <w:rPr>
                <w:b/>
                <w:color w:val="FFFFFF"/>
                <w:sz w:val="26"/>
              </w:rPr>
              <w:t xml:space="preserve">  11.  Infrastructure Health &amp; Recommended Actions</w:t>
            </w:r>
          </w:p>
        </w:tc>
      </w:tr>
    </w:tbl>
    <w:p>
      <w:pPr>
        <w:spacing w:before="0" w:after="100"/>
      </w:pPr>
    </w:p>
    <w:p>
      <w:pPr>
        <w:spacing w:after="120" w:before="0"/>
        <w:jc w:val="left"/>
      </w:pPr>
      <w:r>
        <w:rPr>
          <w:b w:val="0"/>
          <w:i w:val="0"/>
          <w:sz w:val="21"/>
        </w:rPr>
        <w:t>Based on full analysis of all SDC configuration files.  Red = fix immediately.  Amber = plan to fix.  Green = acceptable.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0"/>
        <w:gridCol w:w="2550"/>
        <w:gridCol w:w="2550"/>
        <w:gridCol w:w="2550"/>
      </w:tblGrid>
      <w:tr>
        <w:tc>
          <w:tcPr>
            <w:tcW w:type="dxa" w:w="1134"/>
            <w:shd w:val="clear" w:color="auto" w:fill="1F3564"/>
          </w:tcPr>
          <w:p>
            <w:pPr>
              <w:spacing w:before="60" w:after="60"/>
            </w:pPr>
            <w:r>
              <w:rPr>
                <w:b/>
                <w:color w:val="FFFFFF"/>
                <w:sz w:val="19"/>
              </w:rPr>
              <w:t>Status</w:t>
            </w:r>
          </w:p>
        </w:tc>
        <w:tc>
          <w:tcPr>
            <w:tcW w:type="dxa" w:w="2154"/>
            <w:shd w:val="clear" w:color="auto" w:fill="1F3564"/>
          </w:tcPr>
          <w:p>
            <w:pPr>
              <w:spacing w:before="60" w:after="60"/>
            </w:pPr>
            <w:r>
              <w:rPr>
                <w:b/>
                <w:color w:val="FFFFFF"/>
                <w:sz w:val="19"/>
              </w:rPr>
              <w:t>Issue</w:t>
            </w:r>
          </w:p>
        </w:tc>
        <w:tc>
          <w:tcPr>
            <w:tcW w:type="dxa" w:w="3288"/>
            <w:shd w:val="clear" w:color="auto" w:fill="1F3564"/>
          </w:tcPr>
          <w:p>
            <w:pPr>
              <w:spacing w:before="60" w:after="60"/>
            </w:pPr>
            <w:r>
              <w:rPr>
                <w:b/>
                <w:color w:val="FFFFFF"/>
                <w:sz w:val="19"/>
              </w:rPr>
              <w:t>Impact</w:t>
            </w:r>
          </w:p>
        </w:tc>
        <w:tc>
          <w:tcPr>
            <w:tcW w:type="dxa" w:w="3288"/>
            <w:shd w:val="clear" w:color="auto" w:fill="1F3564"/>
          </w:tcPr>
          <w:p>
            <w:pPr>
              <w:spacing w:before="60" w:after="60"/>
            </w:pPr>
            <w:r>
              <w:rPr>
                <w:b/>
                <w:color w:val="FFFFFF"/>
                <w:sz w:val="19"/>
              </w:rPr>
              <w:t>Recommended Action</w:t>
            </w:r>
          </w:p>
        </w:tc>
      </w:tr>
      <w:tr>
        <w:tc>
          <w:tcPr>
            <w:tcW w:type="dxa" w:w="1134"/>
            <w:shd w:val="clear" w:color="auto" w:fill="C00000"/>
            <w:vAlign w:val="center"/>
          </w:tcPr>
          <w:p>
            <w:pPr>
              <w:spacing w:before="60" w:after="60"/>
              <w:jc w:val="center"/>
            </w:pPr>
            <w:r>
              <w:rPr>
                <w:b/>
                <w:color w:val="FFFFFF"/>
                <w:sz w:val="17"/>
              </w:rPr>
              <w:t>🔴 CRITICAL</w:t>
            </w:r>
          </w:p>
        </w:tc>
        <w:tc>
          <w:tcPr>
            <w:tcW w:type="dxa" w:w="2154"/>
            <w:shd w:val="clear" w:color="auto" w:fill="F7F9FC"/>
          </w:tcPr>
          <w:p>
            <w:pPr>
              <w:spacing w:before="60" w:after="60"/>
            </w:pPr>
            <w:r>
              <w:rPr>
                <w:b/>
                <w:color w:val="1F3564"/>
                <w:sz w:val="17"/>
              </w:rPr>
              <w:t>Fixed OTP in Production</w:t>
            </w:r>
          </w:p>
        </w:tc>
        <w:tc>
          <w:tcPr>
            <w:tcW w:type="dxa" w:w="3288"/>
            <w:shd w:val="clear" w:color="auto" w:fill="F7F9FC"/>
          </w:tcPr>
          <w:p>
            <w:pPr>
              <w:spacing w:before="60" w:after="60"/>
            </w:pPr>
            <w:r>
              <w:rPr>
                <w:b w:val="0"/>
                <w:color w:val="404040"/>
                <w:sz w:val="17"/>
              </w:rPr>
              <w:t>pb-sdc-prod references citizen-otp-fixed: "768696". Any citizen can log in with OTP 768696 — real SMS verification is bypassed.</w:t>
            </w:r>
          </w:p>
        </w:tc>
        <w:tc>
          <w:tcPr>
            <w:tcW w:type="dxa" w:w="3288"/>
            <w:shd w:val="clear" w:color="auto" w:fill="F7F9FC"/>
          </w:tcPr>
          <w:p>
            <w:pPr>
              <w:spacing w:before="60" w:after="60"/>
            </w:pPr>
            <w:r>
              <w:rPr>
                <w:b w:val="0"/>
                <w:color w:val="1E7A45"/>
                <w:sz w:val="17"/>
              </w:rPr>
              <w:t>Set citizen-otp-fixed-enabled: "false" in pb-sdc-prod.yaml and deploy immediately.</w:t>
            </w:r>
          </w:p>
        </w:tc>
      </w:tr>
      <w:tr>
        <w:tc>
          <w:tcPr>
            <w:tcW w:type="dxa" w:w="1134"/>
            <w:shd w:val="clear" w:color="auto" w:fill="C00000"/>
            <w:vAlign w:val="center"/>
          </w:tcPr>
          <w:p>
            <w:pPr>
              <w:spacing w:before="60" w:after="60"/>
              <w:jc w:val="center"/>
            </w:pPr>
            <w:r>
              <w:rPr>
                <w:b/>
                <w:color w:val="FFFFFF"/>
                <w:sz w:val="17"/>
              </w:rPr>
              <w:t>🔴 CRITICAL</w:t>
            </w:r>
          </w:p>
        </w:tc>
        <w:tc>
          <w:tcPr>
            <w:tcW w:type="dxa" w:w="2154"/>
            <w:shd w:val="clear" w:color="auto" w:fill="FFFFFF"/>
          </w:tcPr>
          <w:p>
            <w:pPr>
              <w:spacing w:before="60" w:after="60"/>
            </w:pPr>
            <w:r>
              <w:rPr>
                <w:b/>
                <w:color w:val="1F3564"/>
                <w:sz w:val="17"/>
              </w:rPr>
              <w:t>Single SOPS Key — All Environments</w:t>
            </w:r>
          </w:p>
        </w:tc>
        <w:tc>
          <w:tcPr>
            <w:tcW w:type="dxa" w:w="3288"/>
            <w:shd w:val="clear" w:color="auto" w:fill="FFFFFF"/>
          </w:tcPr>
          <w:p>
            <w:pPr>
              <w:spacing w:before="60" w:after="60"/>
            </w:pPr>
            <w:r>
              <w:rPr>
                <w:b w:val="0"/>
                <w:color w:val="404040"/>
                <w:sz w:val="17"/>
              </w:rPr>
              <w:t>One encryption key protects secrets for Dev, UAT, and Production. Compromise of this key exposes ALL environment secrets simultaneously.</w:t>
            </w:r>
          </w:p>
        </w:tc>
        <w:tc>
          <w:tcPr>
            <w:tcW w:type="dxa" w:w="3288"/>
            <w:shd w:val="clear" w:color="auto" w:fill="FFFFFF"/>
          </w:tcPr>
          <w:p>
            <w:pPr>
              <w:spacing w:before="60" w:after="60"/>
            </w:pPr>
            <w:r>
              <w:rPr>
                <w:b w:val="0"/>
                <w:color w:val="1E7A45"/>
                <w:sz w:val="17"/>
              </w:rPr>
              <w:t>Create separate SOPS/KMS keys per environment. Update .sops.yaml to use a dedicated key for production.</w:t>
            </w:r>
          </w:p>
        </w:tc>
      </w:tr>
      <w:tr>
        <w:tc>
          <w:tcPr>
            <w:tcW w:type="dxa" w:w="1134"/>
            <w:shd w:val="clear" w:color="auto" w:fill="FF8C00"/>
            <w:vAlign w:val="center"/>
          </w:tcPr>
          <w:p>
            <w:pPr>
              <w:spacing w:before="60" w:after="60"/>
              <w:jc w:val="center"/>
            </w:pPr>
            <w:r>
              <w:rPr>
                <w:b/>
                <w:color w:val="FFFFFF"/>
                <w:sz w:val="17"/>
              </w:rPr>
              <w:t>🟠 HIGH</w:t>
            </w:r>
          </w:p>
        </w:tc>
        <w:tc>
          <w:tcPr>
            <w:tcW w:type="dxa" w:w="2154"/>
            <w:shd w:val="clear" w:color="auto" w:fill="F7F9FC"/>
          </w:tcPr>
          <w:p>
            <w:pPr>
              <w:spacing w:before="60" w:after="60"/>
            </w:pPr>
            <w:r>
              <w:rPr>
                <w:b/>
                <w:color w:val="1F3564"/>
                <w:sz w:val="17"/>
              </w:rPr>
              <w:t>Minio — Single Node, No Replication</w:t>
            </w:r>
          </w:p>
        </w:tc>
        <w:tc>
          <w:tcPr>
            <w:tcW w:type="dxa" w:w="3288"/>
            <w:shd w:val="clear" w:color="auto" w:fill="F7F9FC"/>
          </w:tcPr>
          <w:p>
            <w:pPr>
              <w:spacing w:before="60" w:after="60"/>
            </w:pPr>
            <w:r>
              <w:rPr>
                <w:b w:val="0"/>
                <w:color w:val="404040"/>
                <w:sz w:val="17"/>
              </w:rPr>
              <w:t>All citizen documents (PDFs, attachments, notices) on one Minio node at 10.44.237.28. Any disk failure = permanent data loss.</w:t>
            </w:r>
          </w:p>
        </w:tc>
        <w:tc>
          <w:tcPr>
            <w:tcW w:type="dxa" w:w="3288"/>
            <w:shd w:val="clear" w:color="auto" w:fill="F7F9FC"/>
          </w:tcPr>
          <w:p>
            <w:pPr>
              <w:spacing w:before="60" w:after="60"/>
            </w:pPr>
            <w:r>
              <w:rPr>
                <w:b w:val="0"/>
                <w:color w:val="1E7A45"/>
                <w:sz w:val="17"/>
              </w:rPr>
              <w:t>Deploy Minio in distributed mode (minimum 4 nodes) or set up Minio server-side replication to a second node immediately.</w:t>
            </w:r>
          </w:p>
        </w:tc>
      </w:tr>
      <w:tr>
        <w:tc>
          <w:tcPr>
            <w:tcW w:type="dxa" w:w="1134"/>
            <w:shd w:val="clear" w:color="auto" w:fill="FF8C00"/>
            <w:vAlign w:val="center"/>
          </w:tcPr>
          <w:p>
            <w:pPr>
              <w:spacing w:before="60" w:after="60"/>
              <w:jc w:val="center"/>
            </w:pPr>
            <w:r>
              <w:rPr>
                <w:b/>
                <w:color w:val="FFFFFF"/>
                <w:sz w:val="17"/>
              </w:rPr>
              <w:t>🟠 HIGH</w:t>
            </w:r>
          </w:p>
        </w:tc>
        <w:tc>
          <w:tcPr>
            <w:tcW w:type="dxa" w:w="2154"/>
            <w:shd w:val="clear" w:color="auto" w:fill="FFFFFF"/>
          </w:tcPr>
          <w:p>
            <w:pPr>
              <w:spacing w:before="60" w:after="60"/>
            </w:pPr>
            <w:r>
              <w:rPr>
                <w:b/>
                <w:color w:val="1F3564"/>
                <w:sz w:val="17"/>
              </w:rPr>
              <w:t>Business and Infra Kafka Shared (SDC Prod)</w:t>
            </w:r>
          </w:p>
        </w:tc>
        <w:tc>
          <w:tcPr>
            <w:tcW w:type="dxa" w:w="3288"/>
            <w:shd w:val="clear" w:color="auto" w:fill="FFFFFF"/>
          </w:tcPr>
          <w:p>
            <w:pPr>
              <w:spacing w:before="60" w:after="60"/>
            </w:pPr>
            <w:r>
              <w:rPr>
                <w:b w:val="0"/>
                <w:color w:val="404040"/>
                <w:sz w:val="17"/>
              </w:rPr>
              <w:t>SDC prod uses the same Kafka cluster for citizen transactions AND log shipping. Heavy logging competes with payment/tax events.</w:t>
            </w:r>
          </w:p>
        </w:tc>
        <w:tc>
          <w:tcPr>
            <w:tcW w:type="dxa" w:w="3288"/>
            <w:shd w:val="clear" w:color="auto" w:fill="FFFFFF"/>
          </w:tcPr>
          <w:p>
            <w:pPr>
              <w:spacing w:before="60" w:after="60"/>
            </w:pPr>
            <w:r>
              <w:rPr>
                <w:b w:val="0"/>
                <w:color w:val="1E7A45"/>
                <w:sz w:val="17"/>
              </w:rPr>
              <w:t>Provision a separate Kafka cluster for infrastructure logs, mirroring the AWS setup.</w:t>
            </w:r>
          </w:p>
        </w:tc>
      </w:tr>
      <w:tr>
        <w:tc>
          <w:tcPr>
            <w:tcW w:type="dxa" w:w="1134"/>
            <w:shd w:val="clear" w:color="auto" w:fill="FF8C00"/>
            <w:vAlign w:val="center"/>
          </w:tcPr>
          <w:p>
            <w:pPr>
              <w:spacing w:before="60" w:after="60"/>
              <w:jc w:val="center"/>
            </w:pPr>
            <w:r>
              <w:rPr>
                <w:b/>
                <w:color w:val="FFFFFF"/>
                <w:sz w:val="17"/>
              </w:rPr>
              <w:t>🟠 HIGH</w:t>
            </w:r>
          </w:p>
        </w:tc>
        <w:tc>
          <w:tcPr>
            <w:tcW w:type="dxa" w:w="2154"/>
            <w:shd w:val="clear" w:color="auto" w:fill="F7F9FC"/>
          </w:tcPr>
          <w:p>
            <w:pPr>
              <w:spacing w:before="60" w:after="60"/>
            </w:pPr>
            <w:r>
              <w:rPr>
                <w:b/>
                <w:color w:val="1F3564"/>
                <w:sz w:val="17"/>
              </w:rPr>
              <w:t>Elasticsearch via NodePort (SDC Prod)</w:t>
            </w:r>
          </w:p>
        </w:tc>
        <w:tc>
          <w:tcPr>
            <w:tcW w:type="dxa" w:w="3288"/>
            <w:shd w:val="clear" w:color="auto" w:fill="F7F9FC"/>
          </w:tcPr>
          <w:p>
            <w:pPr>
              <w:spacing w:before="60" w:after="60"/>
            </w:pPr>
            <w:r>
              <w:rPr>
                <w:b w:val="0"/>
                <w:color w:val="404040"/>
                <w:sz w:val="17"/>
              </w:rPr>
              <w:t>SDC prod accesses ES at 10.44.237.231:30920 (NodePort) — routes through kube-proxy on every query, adding latency. SDC UAT correctly uses K8s internal DNS.</w:t>
            </w:r>
          </w:p>
        </w:tc>
        <w:tc>
          <w:tcPr>
            <w:tcW w:type="dxa" w:w="3288"/>
            <w:shd w:val="clear" w:color="auto" w:fill="F7F9FC"/>
          </w:tcPr>
          <w:p>
            <w:pPr>
              <w:spacing w:before="60" w:after="60"/>
            </w:pPr>
            <w:r>
              <w:rPr>
                <w:b w:val="0"/>
                <w:color w:val="1E7A45"/>
                <w:sz w:val="17"/>
              </w:rPr>
              <w:t>Switch SDC prod ES URL to K8s internal DNS: elasticsearch-data-v1.es-cluster:9200, matching UAT pattern.</w:t>
            </w:r>
          </w:p>
        </w:tc>
      </w:tr>
      <w:tr>
        <w:tc>
          <w:tcPr>
            <w:tcW w:type="dxa" w:w="1134"/>
            <w:shd w:val="clear" w:color="auto" w:fill="FF8C00"/>
            <w:vAlign w:val="center"/>
          </w:tcPr>
          <w:p>
            <w:pPr>
              <w:spacing w:before="60" w:after="60"/>
              <w:jc w:val="center"/>
            </w:pPr>
            <w:r>
              <w:rPr>
                <w:b/>
                <w:color w:val="FFFFFF"/>
                <w:sz w:val="17"/>
              </w:rPr>
              <w:t>🟠 HIGH</w:t>
            </w:r>
          </w:p>
        </w:tc>
        <w:tc>
          <w:tcPr>
            <w:tcW w:type="dxa" w:w="2154"/>
            <w:shd w:val="clear" w:color="auto" w:fill="FFFFFF"/>
          </w:tcPr>
          <w:p>
            <w:pPr>
              <w:spacing w:before="60" w:after="60"/>
            </w:pPr>
            <w:r>
              <w:rPr>
                <w:b/>
                <w:color w:val="1F3564"/>
                <w:sz w:val="17"/>
              </w:rPr>
              <w:t>No Auto-scaling on SDC</w:t>
            </w:r>
          </w:p>
        </w:tc>
        <w:tc>
          <w:tcPr>
            <w:tcW w:type="dxa" w:w="3288"/>
            <w:shd w:val="clear" w:color="auto" w:fill="FFFFFF"/>
          </w:tcPr>
          <w:p>
            <w:pPr>
              <w:spacing w:before="60" w:after="60"/>
            </w:pPr>
            <w:r>
              <w:rPr>
                <w:b w:val="0"/>
                <w:color w:val="404040"/>
                <w:sz w:val="17"/>
              </w:rPr>
              <w:t>Fixed VM count — no scale-out during property tax filing season or festive payment peaks. Services may become overloaded.</w:t>
            </w:r>
          </w:p>
        </w:tc>
        <w:tc>
          <w:tcPr>
            <w:tcW w:type="dxa" w:w="3288"/>
            <w:shd w:val="clear" w:color="auto" w:fill="FFFFFF"/>
          </w:tcPr>
          <w:p>
            <w:pPr>
              <w:spacing w:before="60" w:after="60"/>
            </w:pPr>
            <w:r>
              <w:rPr>
                <w:b w:val="0"/>
                <w:color w:val="1E7A45"/>
                <w:sz w:val="17"/>
              </w:rPr>
              <w:t>Profile peak traffic patterns. Pre-scale VMs before known peak periods (year-end, tax deadlines). Plan for OpenStack auto-scale if NIC supports it.</w:t>
            </w:r>
          </w:p>
        </w:tc>
      </w:tr>
      <w:tr>
        <w:tc>
          <w:tcPr>
            <w:tcW w:type="dxa" w:w="1134"/>
            <w:shd w:val="clear" w:color="auto" w:fill="70AD47"/>
            <w:vAlign w:val="center"/>
          </w:tcPr>
          <w:p>
            <w:pPr>
              <w:spacing w:before="60" w:after="60"/>
              <w:jc w:val="center"/>
            </w:pPr>
            <w:r>
              <w:rPr>
                <w:b/>
                <w:color w:val="404040"/>
                <w:sz w:val="17"/>
              </w:rPr>
              <w:t>🟡 MEDIUM</w:t>
            </w:r>
          </w:p>
        </w:tc>
        <w:tc>
          <w:tcPr>
            <w:tcW w:type="dxa" w:w="2154"/>
            <w:shd w:val="clear" w:color="auto" w:fill="F7F9FC"/>
          </w:tcPr>
          <w:p>
            <w:pPr>
              <w:spacing w:before="60" w:after="60"/>
            </w:pPr>
            <w:r>
              <w:rPr>
                <w:b/>
                <w:color w:val="1F3564"/>
                <w:sz w:val="17"/>
              </w:rPr>
              <w:t>gitSync — No Hot-Reload</w:t>
            </w:r>
          </w:p>
        </w:tc>
        <w:tc>
          <w:tcPr>
            <w:tcW w:type="dxa" w:w="3288"/>
            <w:shd w:val="clear" w:color="auto" w:fill="F7F9FC"/>
          </w:tcPr>
          <w:p>
            <w:pPr>
              <w:spacing w:before="60" w:after="60"/>
            </w:pPr>
            <w:r>
              <w:rPr>
                <w:b w:val="0"/>
                <w:color w:val="404040"/>
                <w:sz w:val="17"/>
              </w:rPr>
              <w:t>MDMS, persister, indexer config changes require a manual pod restart. No continuous config sync.</w:t>
            </w:r>
          </w:p>
        </w:tc>
        <w:tc>
          <w:tcPr>
            <w:tcW w:type="dxa" w:w="3288"/>
            <w:shd w:val="clear" w:color="auto" w:fill="F7F9FC"/>
          </w:tcPr>
          <w:p>
            <w:pPr>
              <w:spacing w:before="60" w:after="60"/>
            </w:pPr>
            <w:r>
              <w:rPr>
                <w:b w:val="0"/>
                <w:color w:val="1E7A45"/>
                <w:sz w:val="17"/>
              </w:rPr>
              <w:t>Add monitoring alert for config drift. Document the rollout restart runbook clearly for each consuming service.</w:t>
            </w:r>
          </w:p>
        </w:tc>
      </w:tr>
      <w:tr>
        <w:tc>
          <w:tcPr>
            <w:tcW w:type="dxa" w:w="1134"/>
            <w:shd w:val="clear" w:color="auto" w:fill="70AD47"/>
            <w:vAlign w:val="center"/>
          </w:tcPr>
          <w:p>
            <w:pPr>
              <w:spacing w:before="60" w:after="60"/>
              <w:jc w:val="center"/>
            </w:pPr>
            <w:r>
              <w:rPr>
                <w:b/>
                <w:color w:val="404040"/>
                <w:sz w:val="17"/>
              </w:rPr>
              <w:t>🟡 MEDIUM</w:t>
            </w:r>
          </w:p>
        </w:tc>
        <w:tc>
          <w:tcPr>
            <w:tcW w:type="dxa" w:w="2154"/>
            <w:shd w:val="clear" w:color="auto" w:fill="FFFFFF"/>
          </w:tcPr>
          <w:p>
            <w:pPr>
              <w:spacing w:before="60" w:after="60"/>
            </w:pPr>
            <w:r>
              <w:rPr>
                <w:b/>
                <w:color w:val="1F3564"/>
                <w:sz w:val="17"/>
              </w:rPr>
              <w:t>No Infrastructure-as-Code for SDC</w:t>
            </w:r>
          </w:p>
        </w:tc>
        <w:tc>
          <w:tcPr>
            <w:tcW w:type="dxa" w:w="3288"/>
            <w:shd w:val="clear" w:color="auto" w:fill="FFFFFF"/>
          </w:tcPr>
          <w:p>
            <w:pPr>
              <w:spacing w:before="60" w:after="60"/>
            </w:pPr>
            <w:r>
              <w:rPr>
                <w:b w:val="0"/>
                <w:color w:val="404040"/>
                <w:sz w:val="17"/>
              </w:rPr>
              <w:t>VM configurations are manual — no record of what was changed, when, or by whom. Drift between environments is invisible.</w:t>
            </w:r>
          </w:p>
        </w:tc>
        <w:tc>
          <w:tcPr>
            <w:tcW w:type="dxa" w:w="3288"/>
            <w:shd w:val="clear" w:color="auto" w:fill="FFFFFF"/>
          </w:tcPr>
          <w:p>
            <w:pPr>
              <w:spacing w:before="60" w:after="60"/>
            </w:pPr>
            <w:r>
              <w:rPr>
                <w:b w:val="0"/>
                <w:color w:val="1E7A45"/>
                <w:sz w:val="17"/>
              </w:rPr>
              <w:t>Introduce Ansible playbooks describing the expected state of each SDC VM. Run them periodically to detect drift.</w:t>
            </w:r>
          </w:p>
        </w:tc>
      </w:tr>
      <w:tr>
        <w:tc>
          <w:tcPr>
            <w:tcW w:type="dxa" w:w="1134"/>
            <w:shd w:val="clear" w:color="auto" w:fill="1E7A45"/>
            <w:vAlign w:val="center"/>
          </w:tcPr>
          <w:p>
            <w:pPr>
              <w:spacing w:before="60" w:after="60"/>
              <w:jc w:val="center"/>
            </w:pPr>
            <w:r>
              <w:rPr>
                <w:b/>
                <w:color w:val="404040"/>
                <w:sz w:val="17"/>
              </w:rPr>
              <w:t>🟢 GOOD</w:t>
            </w:r>
          </w:p>
        </w:tc>
        <w:tc>
          <w:tcPr>
            <w:tcW w:type="dxa" w:w="2154"/>
            <w:shd w:val="clear" w:color="auto" w:fill="F7F9FC"/>
          </w:tcPr>
          <w:p>
            <w:pPr>
              <w:spacing w:before="60" w:after="60"/>
            </w:pPr>
            <w:r>
              <w:rPr>
                <w:b/>
                <w:color w:val="1F3564"/>
                <w:sz w:val="17"/>
              </w:rPr>
              <w:t>TLS &amp; WAF — Correctly Configured</w:t>
            </w:r>
          </w:p>
        </w:tc>
        <w:tc>
          <w:tcPr>
            <w:tcW w:type="dxa" w:w="3288"/>
            <w:shd w:val="clear" w:color="auto" w:fill="F7F9FC"/>
          </w:tcPr>
          <w:p>
            <w:pPr>
              <w:spacing w:before="60" w:after="60"/>
            </w:pPr>
            <w:r>
              <w:rPr>
                <w:b w:val="0"/>
                <w:color w:val="404040"/>
                <w:sz w:val="17"/>
              </w:rPr>
              <w:t>TLS 1.3, forward-secrecy ciphers, active WAF blocking mode. Strong baseline security.</w:t>
            </w:r>
          </w:p>
        </w:tc>
        <w:tc>
          <w:tcPr>
            <w:tcW w:type="dxa" w:w="3288"/>
            <w:shd w:val="clear" w:color="auto" w:fill="F7F9FC"/>
          </w:tcPr>
          <w:p>
            <w:pPr>
              <w:spacing w:before="60" w:after="60"/>
            </w:pPr>
            <w:r>
              <w:rPr>
                <w:b w:val="0"/>
                <w:color w:val="1E7A45"/>
                <w:sz w:val="17"/>
              </w:rPr>
              <w:t>No action needed. Schedule cert-manager upgrade from v0.10.1 to v1.14+ to maintain compatibility.</w:t>
            </w:r>
          </w:p>
        </w:tc>
      </w:tr>
      <w:tr>
        <w:tc>
          <w:tcPr>
            <w:tcW w:type="dxa" w:w="1134"/>
            <w:shd w:val="clear" w:color="auto" w:fill="1E7A45"/>
            <w:vAlign w:val="center"/>
          </w:tcPr>
          <w:p>
            <w:pPr>
              <w:spacing w:before="60" w:after="60"/>
              <w:jc w:val="center"/>
            </w:pPr>
            <w:r>
              <w:rPr>
                <w:b/>
                <w:color w:val="404040"/>
                <w:sz w:val="17"/>
              </w:rPr>
              <w:t>🟢 GOOD</w:t>
            </w:r>
          </w:p>
        </w:tc>
        <w:tc>
          <w:tcPr>
            <w:tcW w:type="dxa" w:w="2154"/>
            <w:shd w:val="clear" w:color="auto" w:fill="FFFFFF"/>
          </w:tcPr>
          <w:p>
            <w:pPr>
              <w:spacing w:before="60" w:after="60"/>
            </w:pPr>
            <w:r>
              <w:rPr>
                <w:b/>
                <w:color w:val="1F3564"/>
                <w:sz w:val="17"/>
              </w:rPr>
              <w:t>Secrets Encrypted at Rest in Git</w:t>
            </w:r>
          </w:p>
        </w:tc>
        <w:tc>
          <w:tcPr>
            <w:tcW w:type="dxa" w:w="3288"/>
            <w:shd w:val="clear" w:color="auto" w:fill="FFFFFF"/>
          </w:tcPr>
          <w:p>
            <w:pPr>
              <w:spacing w:before="60" w:after="60"/>
            </w:pPr>
            <w:r>
              <w:rPr>
                <w:b w:val="0"/>
                <w:color w:val="404040"/>
                <w:sz w:val="17"/>
              </w:rPr>
              <w:t>SOPS encryption means no plaintext secrets in the repository. Good security baseline.</w:t>
            </w:r>
          </w:p>
        </w:tc>
        <w:tc>
          <w:tcPr>
            <w:tcW w:type="dxa" w:w="3288"/>
            <w:shd w:val="clear" w:color="auto" w:fill="FFFFFF"/>
          </w:tcPr>
          <w:p>
            <w:pPr>
              <w:spacing w:before="60" w:after="60"/>
            </w:pPr>
            <w:r>
              <w:rPr>
                <w:b w:val="0"/>
                <w:color w:val="1E7A45"/>
                <w:sz w:val="17"/>
              </w:rPr>
              <w:t>Improve further by per-environment keys (see Critical items above).</w:t>
            </w:r>
          </w:p>
        </w:tc>
      </w:tr>
    </w:tbl>
    <w:p>
      <w:pPr>
        <w:spacing w:before="0" w:after="160"/>
      </w:pPr>
    </w:p>
    <w:p>
      <w: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9865"/>
            <w:shd w:val="clear" w:color="auto" w:fill="404040"/>
          </w:tcPr>
          <w:p>
            <w:pPr>
              <w:spacing w:before="120" w:after="120"/>
            </w:pPr>
            <w:r>
              <w:rPr>
                <w:b/>
                <w:color w:val="FFFFFF"/>
                <w:sz w:val="26"/>
              </w:rPr>
              <w:t xml:space="preserve">  12.  Quick Reference  —  SDC Endpoints &amp; Key Addresses</w:t>
            </w:r>
          </w:p>
        </w:tc>
      </w:tr>
    </w:tbl>
    <w:p>
      <w:pPr>
        <w:spacing w:before="0" w:after="100"/>
      </w:pPr>
    </w:p>
    <w:p>
      <w:pPr>
        <w:spacing w:after="120" w:before="0"/>
        <w:jc w:val="left"/>
      </w:pPr>
      <w:r>
        <w:rPr>
          <w:b w:val="0"/>
          <w:i w:val="0"/>
          <w:sz w:val="21"/>
        </w:rPr>
        <w:t>All critical URLs, IPs, and service addresses for the SDC deployment: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0"/>
        <w:gridCol w:w="2550"/>
        <w:gridCol w:w="2550"/>
        <w:gridCol w:w="2550"/>
      </w:tblGrid>
      <w:tr>
        <w:tc>
          <w:tcPr>
            <w:tcW w:type="dxa" w:w="2551"/>
            <w:shd w:val="clear" w:color="auto" w:fill="1F3564"/>
          </w:tcPr>
          <w:p>
            <w:pPr>
              <w:spacing w:before="60" w:after="60"/>
            </w:pPr>
            <w:r>
              <w:rPr>
                <w:b/>
                <w:color w:val="FFFFFF"/>
                <w:sz w:val="19"/>
              </w:rPr>
              <w:t>System / Service</w:t>
            </w:r>
          </w:p>
        </w:tc>
        <w:tc>
          <w:tcPr>
            <w:tcW w:type="dxa" w:w="3005"/>
            <w:shd w:val="clear" w:color="auto" w:fill="1F3564"/>
          </w:tcPr>
          <w:p>
            <w:pPr>
              <w:spacing w:before="60" w:after="60"/>
            </w:pPr>
            <w:r>
              <w:rPr>
                <w:b/>
                <w:color w:val="FFFFFF"/>
                <w:sz w:val="19"/>
              </w:rPr>
              <w:t>Address / URL</w:t>
            </w:r>
          </w:p>
        </w:tc>
        <w:tc>
          <w:tcPr>
            <w:tcW w:type="dxa" w:w="1814"/>
            <w:shd w:val="clear" w:color="auto" w:fill="1F3564"/>
          </w:tcPr>
          <w:p>
            <w:pPr>
              <w:spacing w:before="60" w:after="60"/>
            </w:pPr>
            <w:r>
              <w:rPr>
                <w:b/>
                <w:color w:val="FFFFFF"/>
                <w:sz w:val="19"/>
              </w:rPr>
              <w:t>Environment</w:t>
            </w:r>
          </w:p>
        </w:tc>
        <w:tc>
          <w:tcPr>
            <w:tcW w:type="dxa" w:w="2494"/>
            <w:shd w:val="clear" w:color="auto" w:fill="1F3564"/>
          </w:tcPr>
          <w:p>
            <w:pPr>
              <w:spacing w:before="60" w:after="60"/>
            </w:pPr>
            <w:r>
              <w:rPr>
                <w:b/>
                <w:color w:val="FFFFFF"/>
                <w:sz w:val="19"/>
              </w:rPr>
              <w:t>Notes</w:t>
            </w:r>
          </w:p>
        </w:tc>
      </w:tr>
      <w:tr>
        <w:tc>
          <w:tcPr>
            <w:tcW w:type="dxa" w:w="2551"/>
            <w:shd w:val="clear" w:color="auto" w:fill="F7F9FC"/>
          </w:tcPr>
          <w:p>
            <w:pPr>
              <w:spacing w:before="60" w:after="60"/>
            </w:pPr>
            <w:r>
              <w:rPr>
                <w:b/>
                <w:color w:val="1F3564"/>
                <w:sz w:val="18"/>
              </w:rPr>
              <w:t>Citizen Portal (Production)</w:t>
            </w:r>
          </w:p>
        </w:tc>
        <w:tc>
          <w:tcPr>
            <w:tcW w:type="dxa" w:w="3005"/>
            <w:shd w:val="clear" w:color="auto" w:fill="F7F9FC"/>
          </w:tcPr>
          <w:p>
            <w:pPr>
              <w:spacing w:before="60" w:after="60"/>
            </w:pPr>
            <w:r>
              <w:rPr>
                <w:b w:val="0"/>
                <w:sz w:val="18"/>
              </w:rPr>
              <w:t>https://mseva.lgpunjab.gov.in</w:t>
            </w:r>
          </w:p>
        </w:tc>
        <w:tc>
          <w:tcPr>
            <w:tcW w:type="dxa" w:w="1814"/>
            <w:shd w:val="clear" w:color="auto" w:fill="F7F9FC"/>
          </w:tcPr>
          <w:p>
            <w:pPr>
              <w:spacing w:before="60" w:after="60"/>
            </w:pPr>
            <w:r>
              <w:rPr>
                <w:b w:val="0"/>
                <w:sz w:val="18"/>
              </w:rPr>
              <w:t>SDC Production</w:t>
            </w:r>
          </w:p>
        </w:tc>
        <w:tc>
          <w:tcPr>
            <w:tcW w:type="dxa" w:w="2494"/>
            <w:shd w:val="clear" w:color="auto" w:fill="F7F9FC"/>
          </w:tcPr>
          <w:p>
            <w:pPr>
              <w:spacing w:before="60" w:after="60"/>
            </w:pPr>
            <w:r>
              <w:rPr>
                <w:b w:val="0"/>
                <w:sz w:val="18"/>
              </w:rPr>
              <w:t>Live — all Punjab ULBs</w:t>
            </w:r>
          </w:p>
        </w:tc>
      </w:tr>
      <w:tr>
        <w:tc>
          <w:tcPr>
            <w:tcW w:type="dxa" w:w="2551"/>
            <w:shd w:val="clear" w:color="auto" w:fill="FFFFFF"/>
          </w:tcPr>
          <w:p>
            <w:pPr>
              <w:spacing w:before="60" w:after="60"/>
            </w:pPr>
            <w:r>
              <w:rPr>
                <w:b/>
                <w:color w:val="1F3564"/>
                <w:sz w:val="18"/>
              </w:rPr>
              <w:t>Citizen Portal (UAT)</w:t>
            </w:r>
          </w:p>
        </w:tc>
        <w:tc>
          <w:tcPr>
            <w:tcW w:type="dxa" w:w="3005"/>
            <w:shd w:val="clear" w:color="auto" w:fill="FFFFFF"/>
          </w:tcPr>
          <w:p>
            <w:pPr>
              <w:spacing w:before="60" w:after="60"/>
            </w:pPr>
            <w:r>
              <w:rPr>
                <w:b w:val="0"/>
                <w:sz w:val="18"/>
              </w:rPr>
              <w:t>https://sdc-uat.lgpunjab.gov.in</w:t>
            </w:r>
          </w:p>
        </w:tc>
        <w:tc>
          <w:tcPr>
            <w:tcW w:type="dxa" w:w="1814"/>
            <w:shd w:val="clear" w:color="auto" w:fill="FFFFFF"/>
          </w:tcPr>
          <w:p>
            <w:pPr>
              <w:spacing w:before="60" w:after="60"/>
            </w:pPr>
            <w:r>
              <w:rPr>
                <w:b w:val="0"/>
                <w:sz w:val="18"/>
              </w:rPr>
              <w:t>SDC UAT</w:t>
            </w:r>
          </w:p>
        </w:tc>
        <w:tc>
          <w:tcPr>
            <w:tcW w:type="dxa" w:w="2494"/>
            <w:shd w:val="clear" w:color="auto" w:fill="FFFFFF"/>
          </w:tcPr>
          <w:p>
            <w:pPr>
              <w:spacing w:before="60" w:after="60"/>
            </w:pPr>
            <w:r>
              <w:rPr>
                <w:b w:val="0"/>
                <w:sz w:val="18"/>
              </w:rPr>
              <w:t>Testing before prod</w:t>
            </w:r>
          </w:p>
        </w:tc>
      </w:tr>
      <w:tr>
        <w:tc>
          <w:tcPr>
            <w:tcW w:type="dxa" w:w="2551"/>
            <w:shd w:val="clear" w:color="auto" w:fill="F7F9FC"/>
          </w:tcPr>
          <w:p>
            <w:pPr>
              <w:spacing w:before="60" w:after="60"/>
            </w:pPr>
            <w:r>
              <w:rPr>
                <w:b/>
                <w:color w:val="1F3564"/>
                <w:sz w:val="18"/>
              </w:rPr>
              <w:t>Citizen Portal (Dev)</w:t>
            </w:r>
          </w:p>
        </w:tc>
        <w:tc>
          <w:tcPr>
            <w:tcW w:type="dxa" w:w="3005"/>
            <w:shd w:val="clear" w:color="auto" w:fill="F7F9FC"/>
          </w:tcPr>
          <w:p>
            <w:pPr>
              <w:spacing w:before="60" w:after="60"/>
            </w:pPr>
            <w:r>
              <w:rPr>
                <w:b w:val="0"/>
                <w:sz w:val="18"/>
              </w:rPr>
              <w:t>https://mseva-dev.lgpunjab.gov.in</w:t>
            </w:r>
          </w:p>
        </w:tc>
        <w:tc>
          <w:tcPr>
            <w:tcW w:type="dxa" w:w="1814"/>
            <w:shd w:val="clear" w:color="auto" w:fill="F7F9FC"/>
          </w:tcPr>
          <w:p>
            <w:pPr>
              <w:spacing w:before="60" w:after="60"/>
            </w:pPr>
            <w:r>
              <w:rPr>
                <w:b w:val="0"/>
                <w:sz w:val="18"/>
              </w:rPr>
              <w:t>SDC Dev</w:t>
            </w:r>
          </w:p>
        </w:tc>
        <w:tc>
          <w:tcPr>
            <w:tcW w:type="dxa" w:w="2494"/>
            <w:shd w:val="clear" w:color="auto" w:fill="F7F9FC"/>
          </w:tcPr>
          <w:p>
            <w:pPr>
              <w:spacing w:before="60" w:after="60"/>
            </w:pPr>
            <w:r>
              <w:rPr>
                <w:b w:val="0"/>
                <w:sz w:val="18"/>
              </w:rPr>
              <w:t>Developer testing</w:t>
            </w:r>
          </w:p>
        </w:tc>
      </w:tr>
      <w:tr>
        <w:tc>
          <w:tcPr>
            <w:tcW w:type="dxa" w:w="2551"/>
            <w:shd w:val="clear" w:color="auto" w:fill="FFFFFF"/>
          </w:tcPr>
          <w:p>
            <w:pPr>
              <w:spacing w:before="60" w:after="60"/>
            </w:pPr>
            <w:r>
              <w:rPr>
                <w:b/>
                <w:color w:val="1F3564"/>
                <w:sz w:val="18"/>
              </w:rPr>
              <w:t>Jenkins CI/CD</w:t>
            </w:r>
          </w:p>
        </w:tc>
        <w:tc>
          <w:tcPr>
            <w:tcW w:type="dxa" w:w="3005"/>
            <w:shd w:val="clear" w:color="auto" w:fill="FFFFFF"/>
          </w:tcPr>
          <w:p>
            <w:pPr>
              <w:spacing w:before="60" w:after="60"/>
            </w:pPr>
            <w:r>
              <w:rPr>
                <w:b w:val="0"/>
                <w:sz w:val="18"/>
              </w:rPr>
              <w:t>https://pmidc-builds.digit.org</w:t>
            </w:r>
          </w:p>
        </w:tc>
        <w:tc>
          <w:tcPr>
            <w:tcW w:type="dxa" w:w="1814"/>
            <w:shd w:val="clear" w:color="auto" w:fill="FFFFFF"/>
          </w:tcPr>
          <w:p>
            <w:pPr>
              <w:spacing w:before="60" w:after="60"/>
            </w:pPr>
            <w:r>
              <w:rPr>
                <w:b w:val="0"/>
                <w:sz w:val="18"/>
              </w:rPr>
              <w:t>CI (AWS Spot)</w:t>
            </w:r>
          </w:p>
        </w:tc>
        <w:tc>
          <w:tcPr>
            <w:tcW w:type="dxa" w:w="2494"/>
            <w:shd w:val="clear" w:color="auto" w:fill="FFFFFF"/>
          </w:tcPr>
          <w:p>
            <w:pPr>
              <w:spacing w:before="60" w:after="60"/>
            </w:pPr>
            <w:r>
              <w:rPr>
                <w:b w:val="0"/>
                <w:sz w:val="18"/>
              </w:rPr>
              <w:t>Build &amp; deploy trigger</w:t>
            </w:r>
          </w:p>
        </w:tc>
      </w:tr>
      <w:tr>
        <w:tc>
          <w:tcPr>
            <w:tcW w:type="dxa" w:w="2551"/>
            <w:shd w:val="clear" w:color="auto" w:fill="F7F9FC"/>
          </w:tcPr>
          <w:p>
            <w:pPr>
              <w:spacing w:before="60" w:after="60"/>
            </w:pPr>
            <w:r>
              <w:rPr>
                <w:b/>
                <w:color w:val="1F3564"/>
                <w:sz w:val="18"/>
              </w:rPr>
              <w:t>PostgreSQL Primary (Prod)</w:t>
            </w:r>
          </w:p>
        </w:tc>
        <w:tc>
          <w:tcPr>
            <w:tcW w:type="dxa" w:w="3005"/>
            <w:shd w:val="clear" w:color="auto" w:fill="F7F9FC"/>
          </w:tcPr>
          <w:p>
            <w:pPr>
              <w:spacing w:before="60" w:after="60"/>
            </w:pPr>
            <w:r>
              <w:rPr>
                <w:b w:val="0"/>
                <w:sz w:val="18"/>
              </w:rPr>
              <w:t>10.44.242.67:5432</w:t>
            </w:r>
          </w:p>
        </w:tc>
        <w:tc>
          <w:tcPr>
            <w:tcW w:type="dxa" w:w="1814"/>
            <w:shd w:val="clear" w:color="auto" w:fill="F7F9FC"/>
          </w:tcPr>
          <w:p>
            <w:pPr>
              <w:spacing w:before="60" w:after="60"/>
            </w:pPr>
            <w:r>
              <w:rPr>
                <w:b w:val="0"/>
                <w:sz w:val="18"/>
              </w:rPr>
              <w:t>SDC Production</w:t>
            </w:r>
          </w:p>
        </w:tc>
        <w:tc>
          <w:tcPr>
            <w:tcW w:type="dxa" w:w="2494"/>
            <w:shd w:val="clear" w:color="auto" w:fill="F7F9FC"/>
          </w:tcPr>
          <w:p>
            <w:pPr>
              <w:spacing w:before="60" w:after="60"/>
            </w:pPr>
            <w:r>
              <w:rPr>
                <w:b w:val="0"/>
                <w:sz w:val="18"/>
              </w:rPr>
              <w:t>Main database — egov_prod_db</w:t>
            </w:r>
          </w:p>
        </w:tc>
      </w:tr>
      <w:tr>
        <w:tc>
          <w:tcPr>
            <w:tcW w:type="dxa" w:w="2551"/>
            <w:shd w:val="clear" w:color="auto" w:fill="FFFFFF"/>
          </w:tcPr>
          <w:p>
            <w:pPr>
              <w:spacing w:before="60" w:after="60"/>
            </w:pPr>
            <w:r>
              <w:rPr>
                <w:b/>
                <w:color w:val="1F3564"/>
                <w:sz w:val="18"/>
              </w:rPr>
              <w:t>PostgreSQL Read Replica (Prod)</w:t>
            </w:r>
          </w:p>
        </w:tc>
        <w:tc>
          <w:tcPr>
            <w:tcW w:type="dxa" w:w="3005"/>
            <w:shd w:val="clear" w:color="auto" w:fill="FFFFFF"/>
          </w:tcPr>
          <w:p>
            <w:pPr>
              <w:spacing w:before="60" w:after="60"/>
            </w:pPr>
            <w:r>
              <w:rPr>
                <w:b w:val="0"/>
                <w:sz w:val="18"/>
              </w:rPr>
              <w:t>10.44.242.68:5432</w:t>
            </w:r>
          </w:p>
        </w:tc>
        <w:tc>
          <w:tcPr>
            <w:tcW w:type="dxa" w:w="1814"/>
            <w:shd w:val="clear" w:color="auto" w:fill="FFFFFF"/>
          </w:tcPr>
          <w:p>
            <w:pPr>
              <w:spacing w:before="60" w:after="60"/>
            </w:pPr>
            <w:r>
              <w:rPr>
                <w:b w:val="0"/>
                <w:sz w:val="18"/>
              </w:rPr>
              <w:t>SDC Production</w:t>
            </w:r>
          </w:p>
        </w:tc>
        <w:tc>
          <w:tcPr>
            <w:tcW w:type="dxa" w:w="2494"/>
            <w:shd w:val="clear" w:color="auto" w:fill="FFFFFF"/>
          </w:tcPr>
          <w:p>
            <w:pPr>
              <w:spacing w:before="60" w:after="60"/>
            </w:pPr>
            <w:r>
              <w:rPr>
                <w:b w:val="0"/>
                <w:sz w:val="18"/>
              </w:rPr>
              <w:t>Read-only replica</w:t>
            </w:r>
          </w:p>
        </w:tc>
      </w:tr>
      <w:tr>
        <w:tc>
          <w:tcPr>
            <w:tcW w:type="dxa" w:w="2551"/>
            <w:shd w:val="clear" w:color="auto" w:fill="F7F9FC"/>
          </w:tcPr>
          <w:p>
            <w:pPr>
              <w:spacing w:before="60" w:after="60"/>
            </w:pPr>
            <w:r>
              <w:rPr>
                <w:b/>
                <w:color w:val="1F3564"/>
                <w:sz w:val="18"/>
              </w:rPr>
              <w:t>PostgreSQL (UAT + Dev)</w:t>
            </w:r>
          </w:p>
        </w:tc>
        <w:tc>
          <w:tcPr>
            <w:tcW w:type="dxa" w:w="3005"/>
            <w:shd w:val="clear" w:color="auto" w:fill="F7F9FC"/>
          </w:tcPr>
          <w:p>
            <w:pPr>
              <w:spacing w:before="60" w:after="60"/>
            </w:pPr>
            <w:r>
              <w:rPr>
                <w:b w:val="0"/>
                <w:sz w:val="18"/>
              </w:rPr>
              <w:t>10.44.237.25:5432</w:t>
            </w:r>
          </w:p>
        </w:tc>
        <w:tc>
          <w:tcPr>
            <w:tcW w:type="dxa" w:w="1814"/>
            <w:shd w:val="clear" w:color="auto" w:fill="F7F9FC"/>
          </w:tcPr>
          <w:p>
            <w:pPr>
              <w:spacing w:before="60" w:after="60"/>
            </w:pPr>
            <w:r>
              <w:rPr>
                <w:b w:val="0"/>
                <w:sz w:val="18"/>
              </w:rPr>
              <w:t>SDC UAT / Dev</w:t>
            </w:r>
          </w:p>
        </w:tc>
        <w:tc>
          <w:tcPr>
            <w:tcW w:type="dxa" w:w="2494"/>
            <w:shd w:val="clear" w:color="auto" w:fill="F7F9FC"/>
          </w:tcPr>
          <w:p>
            <w:pPr>
              <w:spacing w:before="60" w:after="60"/>
            </w:pPr>
            <w:r>
              <w:rPr>
                <w:b w:val="0"/>
                <w:sz w:val="18"/>
              </w:rPr>
              <w:t>Shared DB server</w:t>
            </w:r>
          </w:p>
        </w:tc>
      </w:tr>
      <w:tr>
        <w:tc>
          <w:tcPr>
            <w:tcW w:type="dxa" w:w="2551"/>
            <w:shd w:val="clear" w:color="auto" w:fill="FFFFFF"/>
          </w:tcPr>
          <w:p>
            <w:pPr>
              <w:spacing w:before="60" w:after="60"/>
            </w:pPr>
            <w:r>
              <w:rPr>
                <w:b/>
                <w:color w:val="1F3564"/>
                <w:sz w:val="18"/>
              </w:rPr>
              <w:t>Minio Object Store</w:t>
            </w:r>
          </w:p>
        </w:tc>
        <w:tc>
          <w:tcPr>
            <w:tcW w:type="dxa" w:w="3005"/>
            <w:shd w:val="clear" w:color="auto" w:fill="FFFFFF"/>
          </w:tcPr>
          <w:p>
            <w:pPr>
              <w:spacing w:before="60" w:after="60"/>
            </w:pPr>
            <w:r>
              <w:rPr>
                <w:b w:val="0"/>
                <w:sz w:val="18"/>
              </w:rPr>
              <w:t>http://10.44.237.28:9000</w:t>
            </w:r>
          </w:p>
        </w:tc>
        <w:tc>
          <w:tcPr>
            <w:tcW w:type="dxa" w:w="1814"/>
            <w:shd w:val="clear" w:color="auto" w:fill="FFFFFF"/>
          </w:tcPr>
          <w:p>
            <w:pPr>
              <w:spacing w:before="60" w:after="60"/>
            </w:pPr>
            <w:r>
              <w:rPr>
                <w:b w:val="0"/>
                <w:sz w:val="18"/>
              </w:rPr>
              <w:t>All SDC envs</w:t>
            </w:r>
          </w:p>
        </w:tc>
        <w:tc>
          <w:tcPr>
            <w:tcW w:type="dxa" w:w="2494"/>
            <w:shd w:val="clear" w:color="auto" w:fill="FFFFFF"/>
          </w:tcPr>
          <w:p>
            <w:pPr>
              <w:spacing w:before="60" w:after="60"/>
            </w:pPr>
            <w:r>
              <w:rPr>
                <w:b w:val="0"/>
                <w:sz w:val="18"/>
              </w:rPr>
              <w:t>Citizen docs &amp; attachments</w:t>
            </w:r>
          </w:p>
        </w:tc>
      </w:tr>
      <w:tr>
        <w:tc>
          <w:tcPr>
            <w:tcW w:type="dxa" w:w="2551"/>
            <w:shd w:val="clear" w:color="auto" w:fill="F7F9FC"/>
          </w:tcPr>
          <w:p>
            <w:pPr>
              <w:spacing w:before="60" w:after="60"/>
            </w:pPr>
            <w:r>
              <w:rPr>
                <w:b/>
                <w:color w:val="1F3564"/>
                <w:sz w:val="18"/>
              </w:rPr>
              <w:t>Elasticsearch Biz (Prod)</w:t>
            </w:r>
          </w:p>
        </w:tc>
        <w:tc>
          <w:tcPr>
            <w:tcW w:type="dxa" w:w="3005"/>
            <w:shd w:val="clear" w:color="auto" w:fill="F7F9FC"/>
          </w:tcPr>
          <w:p>
            <w:pPr>
              <w:spacing w:before="60" w:after="60"/>
            </w:pPr>
            <w:r>
              <w:rPr>
                <w:b w:val="0"/>
                <w:sz w:val="18"/>
              </w:rPr>
              <w:t>10.44.237.231:30920</w:t>
            </w:r>
          </w:p>
        </w:tc>
        <w:tc>
          <w:tcPr>
            <w:tcW w:type="dxa" w:w="1814"/>
            <w:shd w:val="clear" w:color="auto" w:fill="F7F9FC"/>
          </w:tcPr>
          <w:p>
            <w:pPr>
              <w:spacing w:before="60" w:after="60"/>
            </w:pPr>
            <w:r>
              <w:rPr>
                <w:b w:val="0"/>
                <w:sz w:val="18"/>
              </w:rPr>
              <w:t>SDC Production</w:t>
            </w:r>
          </w:p>
        </w:tc>
        <w:tc>
          <w:tcPr>
            <w:tcW w:type="dxa" w:w="2494"/>
            <w:shd w:val="clear" w:color="auto" w:fill="F7F9FC"/>
          </w:tcPr>
          <w:p>
            <w:pPr>
              <w:spacing w:before="60" w:after="60"/>
            </w:pPr>
            <w:r>
              <w:rPr>
                <w:b w:val="0"/>
                <w:sz w:val="18"/>
              </w:rPr>
              <w:t>App logs — NodePort</w:t>
            </w:r>
          </w:p>
        </w:tc>
      </w:tr>
      <w:tr>
        <w:tc>
          <w:tcPr>
            <w:tcW w:type="dxa" w:w="2551"/>
            <w:shd w:val="clear" w:color="auto" w:fill="FFFFFF"/>
          </w:tcPr>
          <w:p>
            <w:pPr>
              <w:spacing w:before="60" w:after="60"/>
            </w:pPr>
            <w:r>
              <w:rPr>
                <w:b/>
                <w:color w:val="1F3564"/>
                <w:sz w:val="18"/>
              </w:rPr>
              <w:t>Elasticsearch Infra (Prod)</w:t>
            </w:r>
          </w:p>
        </w:tc>
        <w:tc>
          <w:tcPr>
            <w:tcW w:type="dxa" w:w="3005"/>
            <w:shd w:val="clear" w:color="auto" w:fill="FFFFFF"/>
          </w:tcPr>
          <w:p>
            <w:pPr>
              <w:spacing w:before="60" w:after="60"/>
            </w:pPr>
            <w:r>
              <w:rPr>
                <w:b w:val="0"/>
                <w:sz w:val="18"/>
              </w:rPr>
              <w:t>10.44.237.233:30920</w:t>
            </w:r>
          </w:p>
        </w:tc>
        <w:tc>
          <w:tcPr>
            <w:tcW w:type="dxa" w:w="1814"/>
            <w:shd w:val="clear" w:color="auto" w:fill="FFFFFF"/>
          </w:tcPr>
          <w:p>
            <w:pPr>
              <w:spacing w:before="60" w:after="60"/>
            </w:pPr>
            <w:r>
              <w:rPr>
                <w:b w:val="0"/>
                <w:sz w:val="18"/>
              </w:rPr>
              <w:t>SDC Production</w:t>
            </w:r>
          </w:p>
        </w:tc>
        <w:tc>
          <w:tcPr>
            <w:tcW w:type="dxa" w:w="2494"/>
            <w:shd w:val="clear" w:color="auto" w:fill="FFFFFF"/>
          </w:tcPr>
          <w:p>
            <w:pPr>
              <w:spacing w:before="60" w:after="60"/>
            </w:pPr>
            <w:r>
              <w:rPr>
                <w:b w:val="0"/>
                <w:sz w:val="18"/>
              </w:rPr>
              <w:t>Infra logs — NodePort</w:t>
            </w:r>
          </w:p>
        </w:tc>
      </w:tr>
      <w:tr>
        <w:tc>
          <w:tcPr>
            <w:tcW w:type="dxa" w:w="2551"/>
            <w:shd w:val="clear" w:color="auto" w:fill="F7F9FC"/>
          </w:tcPr>
          <w:p>
            <w:pPr>
              <w:spacing w:before="60" w:after="60"/>
            </w:pPr>
            <w:r>
              <w:rPr>
                <w:b/>
                <w:color w:val="1F3564"/>
                <w:sz w:val="18"/>
              </w:rPr>
              <w:t>Elasticsearch (UAT/Dev)</w:t>
            </w:r>
          </w:p>
        </w:tc>
        <w:tc>
          <w:tcPr>
            <w:tcW w:type="dxa" w:w="3005"/>
            <w:shd w:val="clear" w:color="auto" w:fill="F7F9FC"/>
          </w:tcPr>
          <w:p>
            <w:pPr>
              <w:spacing w:before="60" w:after="60"/>
            </w:pPr>
            <w:r>
              <w:rPr>
                <w:b w:val="0"/>
                <w:sz w:val="18"/>
              </w:rPr>
              <w:t>elasticsearch-data-v1.es-cluster:9200</w:t>
            </w:r>
          </w:p>
        </w:tc>
        <w:tc>
          <w:tcPr>
            <w:tcW w:type="dxa" w:w="1814"/>
            <w:shd w:val="clear" w:color="auto" w:fill="F7F9FC"/>
          </w:tcPr>
          <w:p>
            <w:pPr>
              <w:spacing w:before="60" w:after="60"/>
            </w:pPr>
            <w:r>
              <w:rPr>
                <w:b w:val="0"/>
                <w:sz w:val="18"/>
              </w:rPr>
              <w:t>SDC UAT / Dev</w:t>
            </w:r>
          </w:p>
        </w:tc>
        <w:tc>
          <w:tcPr>
            <w:tcW w:type="dxa" w:w="2494"/>
            <w:shd w:val="clear" w:color="auto" w:fill="F7F9FC"/>
          </w:tcPr>
          <w:p>
            <w:pPr>
              <w:spacing w:before="60" w:after="60"/>
            </w:pPr>
            <w:r>
              <w:rPr>
                <w:b w:val="0"/>
                <w:sz w:val="18"/>
              </w:rPr>
              <w:t>K8s internal DNS</w:t>
            </w:r>
          </w:p>
        </w:tc>
      </w:tr>
      <w:tr>
        <w:tc>
          <w:tcPr>
            <w:tcW w:type="dxa" w:w="2551"/>
            <w:shd w:val="clear" w:color="auto" w:fill="FFFFFF"/>
          </w:tcPr>
          <w:p>
            <w:pPr>
              <w:spacing w:before="60" w:after="60"/>
            </w:pPr>
            <w:r>
              <w:rPr>
                <w:b/>
                <w:color w:val="1F3564"/>
                <w:sz w:val="18"/>
              </w:rPr>
              <w:t>Kafka (Prod / Dev)</w:t>
            </w:r>
          </w:p>
        </w:tc>
        <w:tc>
          <w:tcPr>
            <w:tcW w:type="dxa" w:w="3005"/>
            <w:shd w:val="clear" w:color="auto" w:fill="FFFFFF"/>
          </w:tcPr>
          <w:p>
            <w:pPr>
              <w:spacing w:before="60" w:after="60"/>
            </w:pPr>
            <w:r>
              <w:rPr>
                <w:b w:val="0"/>
                <w:sz w:val="18"/>
              </w:rPr>
              <w:t>release-name-kafka.backbone:9092</w:t>
            </w:r>
          </w:p>
        </w:tc>
        <w:tc>
          <w:tcPr>
            <w:tcW w:type="dxa" w:w="1814"/>
            <w:shd w:val="clear" w:color="auto" w:fill="FFFFFF"/>
          </w:tcPr>
          <w:p>
            <w:pPr>
              <w:spacing w:before="60" w:after="60"/>
            </w:pPr>
            <w:r>
              <w:rPr>
                <w:b w:val="0"/>
                <w:sz w:val="18"/>
              </w:rPr>
              <w:t>SDC Prod + Dev</w:t>
            </w:r>
          </w:p>
        </w:tc>
        <w:tc>
          <w:tcPr>
            <w:tcW w:type="dxa" w:w="2494"/>
            <w:shd w:val="clear" w:color="auto" w:fill="FFFFFF"/>
          </w:tcPr>
          <w:p>
            <w:pPr>
              <w:spacing w:before="60" w:after="60"/>
            </w:pPr>
            <w:r>
              <w:rPr>
                <w:b w:val="0"/>
                <w:sz w:val="18"/>
              </w:rPr>
              <w:t>Zookeeper-based</w:t>
            </w:r>
          </w:p>
        </w:tc>
      </w:tr>
      <w:tr>
        <w:tc>
          <w:tcPr>
            <w:tcW w:type="dxa" w:w="2551"/>
            <w:shd w:val="clear" w:color="auto" w:fill="F7F9FC"/>
          </w:tcPr>
          <w:p>
            <w:pPr>
              <w:spacing w:before="60" w:after="60"/>
            </w:pPr>
            <w:r>
              <w:rPr>
                <w:b/>
                <w:color w:val="1F3564"/>
                <w:sz w:val="18"/>
              </w:rPr>
              <w:t>Kafka (UAT — KRaft)</w:t>
            </w:r>
          </w:p>
        </w:tc>
        <w:tc>
          <w:tcPr>
            <w:tcW w:type="dxa" w:w="3005"/>
            <w:shd w:val="clear" w:color="auto" w:fill="F7F9FC"/>
          </w:tcPr>
          <w:p>
            <w:pPr>
              <w:spacing w:before="60" w:after="60"/>
            </w:pPr>
            <w:r>
              <w:rPr>
                <w:b w:val="0"/>
                <w:sz w:val="18"/>
              </w:rPr>
              <w:t>release-name-kafka-kraft.backbone:9092</w:t>
            </w:r>
          </w:p>
        </w:tc>
        <w:tc>
          <w:tcPr>
            <w:tcW w:type="dxa" w:w="1814"/>
            <w:shd w:val="clear" w:color="auto" w:fill="F7F9FC"/>
          </w:tcPr>
          <w:p>
            <w:pPr>
              <w:spacing w:before="60" w:after="60"/>
            </w:pPr>
            <w:r>
              <w:rPr>
                <w:b w:val="0"/>
                <w:sz w:val="18"/>
              </w:rPr>
              <w:t>SDC UAT</w:t>
            </w:r>
          </w:p>
        </w:tc>
        <w:tc>
          <w:tcPr>
            <w:tcW w:type="dxa" w:w="2494"/>
            <w:shd w:val="clear" w:color="auto" w:fill="F7F9FC"/>
          </w:tcPr>
          <w:p>
            <w:pPr>
              <w:spacing w:before="60" w:after="60"/>
            </w:pPr>
            <w:r>
              <w:rPr>
                <w:b w:val="0"/>
                <w:sz w:val="18"/>
              </w:rPr>
              <w:t>KRaft mode — no Zookeeper</w:t>
            </w:r>
          </w:p>
        </w:tc>
      </w:tr>
      <w:tr>
        <w:tc>
          <w:tcPr>
            <w:tcW w:type="dxa" w:w="2551"/>
            <w:shd w:val="clear" w:color="auto" w:fill="FFFFFF"/>
          </w:tcPr>
          <w:p>
            <w:pPr>
              <w:spacing w:before="60" w:after="60"/>
            </w:pPr>
            <w:r>
              <w:rPr>
                <w:b/>
                <w:color w:val="1F3564"/>
                <w:sz w:val="18"/>
              </w:rPr>
              <w:t>Kafka Infra (UAT)</w:t>
            </w:r>
          </w:p>
        </w:tc>
        <w:tc>
          <w:tcPr>
            <w:tcW w:type="dxa" w:w="3005"/>
            <w:shd w:val="clear" w:color="auto" w:fill="FFFFFF"/>
          </w:tcPr>
          <w:p>
            <w:pPr>
              <w:spacing w:before="60" w:after="60"/>
            </w:pPr>
            <w:r>
              <w:rPr>
                <w:b w:val="0"/>
                <w:sz w:val="18"/>
              </w:rPr>
              <w:t>kafka-v2-infra.kafka-cluster:9092</w:t>
            </w:r>
          </w:p>
        </w:tc>
        <w:tc>
          <w:tcPr>
            <w:tcW w:type="dxa" w:w="1814"/>
            <w:shd w:val="clear" w:color="auto" w:fill="FFFFFF"/>
          </w:tcPr>
          <w:p>
            <w:pPr>
              <w:spacing w:before="60" w:after="60"/>
            </w:pPr>
            <w:r>
              <w:rPr>
                <w:b w:val="0"/>
                <w:sz w:val="18"/>
              </w:rPr>
              <w:t>SDC UAT</w:t>
            </w:r>
          </w:p>
        </w:tc>
        <w:tc>
          <w:tcPr>
            <w:tcW w:type="dxa" w:w="2494"/>
            <w:shd w:val="clear" w:color="auto" w:fill="FFFFFF"/>
          </w:tcPr>
          <w:p>
            <w:pPr>
              <w:spacing w:before="60" w:after="60"/>
            </w:pPr>
            <w:r>
              <w:rPr>
                <w:b w:val="0"/>
                <w:sz w:val="18"/>
              </w:rPr>
              <w:t>Infrastructure log Kafka</w:t>
            </w:r>
          </w:p>
        </w:tc>
      </w:tr>
      <w:tr>
        <w:tc>
          <w:tcPr>
            <w:tcW w:type="dxa" w:w="2551"/>
            <w:shd w:val="clear" w:color="auto" w:fill="F7F9FC"/>
          </w:tcPr>
          <w:p>
            <w:pPr>
              <w:spacing w:before="60" w:after="60"/>
            </w:pPr>
            <w:r>
              <w:rPr>
                <w:b/>
                <w:color w:val="1F3564"/>
                <w:sz w:val="18"/>
              </w:rPr>
              <w:t>Finance DB (Prod)</w:t>
            </w:r>
          </w:p>
        </w:tc>
        <w:tc>
          <w:tcPr>
            <w:tcW w:type="dxa" w:w="3005"/>
            <w:shd w:val="clear" w:color="auto" w:fill="F7F9FC"/>
          </w:tcPr>
          <w:p>
            <w:pPr>
              <w:spacing w:before="60" w:after="60"/>
            </w:pPr>
            <w:r>
              <w:rPr>
                <w:b w:val="0"/>
                <w:sz w:val="18"/>
              </w:rPr>
              <w:t>10.44.242.67:5432 / finance_egov_prod_db</w:t>
            </w:r>
          </w:p>
        </w:tc>
        <w:tc>
          <w:tcPr>
            <w:tcW w:type="dxa" w:w="1814"/>
            <w:shd w:val="clear" w:color="auto" w:fill="F7F9FC"/>
          </w:tcPr>
          <w:p>
            <w:pPr>
              <w:spacing w:before="60" w:after="60"/>
            </w:pPr>
            <w:r>
              <w:rPr>
                <w:b w:val="0"/>
                <w:sz w:val="18"/>
              </w:rPr>
              <w:t>SDC Production</w:t>
            </w:r>
          </w:p>
        </w:tc>
        <w:tc>
          <w:tcPr>
            <w:tcW w:type="dxa" w:w="2494"/>
            <w:shd w:val="clear" w:color="auto" w:fill="F7F9FC"/>
          </w:tcPr>
          <w:p>
            <w:pPr>
              <w:spacing w:before="60" w:after="60"/>
            </w:pPr>
            <w:r>
              <w:rPr>
                <w:b w:val="0"/>
                <w:sz w:val="18"/>
              </w:rPr>
              <w:t>Finance ERP (WildFly)</w:t>
            </w:r>
          </w:p>
        </w:tc>
      </w:tr>
      <w:tr>
        <w:tc>
          <w:tcPr>
            <w:tcW w:type="dxa" w:w="2551"/>
            <w:shd w:val="clear" w:color="auto" w:fill="FFFFFF"/>
          </w:tcPr>
          <w:p>
            <w:pPr>
              <w:spacing w:before="60" w:after="60"/>
            </w:pPr>
            <w:r>
              <w:rPr>
                <w:b/>
                <w:color w:val="1F3564"/>
                <w:sz w:val="18"/>
              </w:rPr>
              <w:t>BPA DB (Prod)</w:t>
            </w:r>
          </w:p>
        </w:tc>
        <w:tc>
          <w:tcPr>
            <w:tcW w:type="dxa" w:w="3005"/>
            <w:shd w:val="clear" w:color="auto" w:fill="FFFFFF"/>
          </w:tcPr>
          <w:p>
            <w:pPr>
              <w:spacing w:before="60" w:after="60"/>
            </w:pPr>
            <w:r>
              <w:rPr>
                <w:b w:val="0"/>
                <w:sz w:val="18"/>
              </w:rPr>
              <w:t>10.44.242.67:5432 / edcr_prod_db</w:t>
            </w:r>
          </w:p>
        </w:tc>
        <w:tc>
          <w:tcPr>
            <w:tcW w:type="dxa" w:w="1814"/>
            <w:shd w:val="clear" w:color="auto" w:fill="FFFFFF"/>
          </w:tcPr>
          <w:p>
            <w:pPr>
              <w:spacing w:before="60" w:after="60"/>
            </w:pPr>
            <w:r>
              <w:rPr>
                <w:b w:val="0"/>
                <w:sz w:val="18"/>
              </w:rPr>
              <w:t>SDC Production</w:t>
            </w:r>
          </w:p>
        </w:tc>
        <w:tc>
          <w:tcPr>
            <w:tcW w:type="dxa" w:w="2494"/>
            <w:shd w:val="clear" w:color="auto" w:fill="FFFFFF"/>
          </w:tcPr>
          <w:p>
            <w:pPr>
              <w:spacing w:before="60" w:after="60"/>
            </w:pPr>
            <w:r>
              <w:rPr>
                <w:b w:val="0"/>
                <w:sz w:val="18"/>
              </w:rPr>
              <w:t>Building Plan Approval</w:t>
            </w:r>
          </w:p>
        </w:tc>
      </w:tr>
      <w:tr>
        <w:tc>
          <w:tcPr>
            <w:tcW w:type="dxa" w:w="2551"/>
            <w:shd w:val="clear" w:color="auto" w:fill="F7F9FC"/>
          </w:tcPr>
          <w:p>
            <w:pPr>
              <w:spacing w:before="60" w:after="60"/>
            </w:pPr>
            <w:r>
              <w:rPr>
                <w:b/>
                <w:color w:val="1F3564"/>
                <w:sz w:val="18"/>
              </w:rPr>
              <w:t>GIS DB (Prod)</w:t>
            </w:r>
          </w:p>
        </w:tc>
        <w:tc>
          <w:tcPr>
            <w:tcW w:type="dxa" w:w="3005"/>
            <w:shd w:val="clear" w:color="auto" w:fill="F7F9FC"/>
          </w:tcPr>
          <w:p>
            <w:pPr>
              <w:spacing w:before="60" w:after="60"/>
            </w:pPr>
            <w:r>
              <w:rPr>
                <w:b w:val="0"/>
                <w:sz w:val="18"/>
              </w:rPr>
              <w:t>10.44.242.67:5432 / gis_db</w:t>
            </w:r>
          </w:p>
        </w:tc>
        <w:tc>
          <w:tcPr>
            <w:tcW w:type="dxa" w:w="1814"/>
            <w:shd w:val="clear" w:color="auto" w:fill="F7F9FC"/>
          </w:tcPr>
          <w:p>
            <w:pPr>
              <w:spacing w:before="60" w:after="60"/>
            </w:pPr>
            <w:r>
              <w:rPr>
                <w:b w:val="0"/>
                <w:sz w:val="18"/>
              </w:rPr>
              <w:t>SDC Production</w:t>
            </w:r>
          </w:p>
        </w:tc>
        <w:tc>
          <w:tcPr>
            <w:tcW w:type="dxa" w:w="2494"/>
            <w:shd w:val="clear" w:color="auto" w:fill="F7F9FC"/>
          </w:tcPr>
          <w:p>
            <w:pPr>
              <w:spacing w:before="60" w:after="60"/>
            </w:pPr>
            <w:r>
              <w:rPr>
                <w:b w:val="0"/>
                <w:sz w:val="18"/>
              </w:rPr>
              <w:t>Location services</w:t>
            </w:r>
          </w:p>
        </w:tc>
      </w:tr>
      <w:tr>
        <w:tc>
          <w:tcPr>
            <w:tcW w:type="dxa" w:w="2551"/>
            <w:shd w:val="clear" w:color="auto" w:fill="FFFFFF"/>
          </w:tcPr>
          <w:p>
            <w:pPr>
              <w:spacing w:before="60" w:after="60"/>
            </w:pPr>
            <w:r>
              <w:rPr>
                <w:b/>
                <w:color w:val="1F3564"/>
                <w:sz w:val="18"/>
              </w:rPr>
              <w:t>SMS Gateway (Prod)</w:t>
            </w:r>
          </w:p>
        </w:tc>
        <w:tc>
          <w:tcPr>
            <w:tcW w:type="dxa" w:w="3005"/>
            <w:shd w:val="clear" w:color="auto" w:fill="FFFFFF"/>
          </w:tcPr>
          <w:p>
            <w:pPr>
              <w:spacing w:before="60" w:after="60"/>
            </w:pPr>
            <w:r>
              <w:rPr>
                <w:b w:val="0"/>
                <w:sz w:val="18"/>
              </w:rPr>
              <w:t>smsgw.sms.gov.in / Sender: PBGOVT</w:t>
            </w:r>
          </w:p>
        </w:tc>
        <w:tc>
          <w:tcPr>
            <w:tcW w:type="dxa" w:w="1814"/>
            <w:shd w:val="clear" w:color="auto" w:fill="FFFFFF"/>
          </w:tcPr>
          <w:p>
            <w:pPr>
              <w:spacing w:before="60" w:after="60"/>
            </w:pPr>
            <w:r>
              <w:rPr>
                <w:b w:val="0"/>
                <w:sz w:val="18"/>
              </w:rPr>
              <w:t>SDC Production</w:t>
            </w:r>
          </w:p>
        </w:tc>
        <w:tc>
          <w:tcPr>
            <w:tcW w:type="dxa" w:w="2494"/>
            <w:shd w:val="clear" w:color="auto" w:fill="FFFFFF"/>
          </w:tcPr>
          <w:p>
            <w:pPr>
              <w:spacing w:before="60" w:after="60"/>
            </w:pPr>
            <w:r>
              <w:rPr>
                <w:b w:val="0"/>
                <w:sz w:val="18"/>
              </w:rPr>
              <w:t>Needs JVM truststore Secret</w:t>
            </w:r>
          </w:p>
        </w:tc>
      </w:tr>
      <w:tr>
        <w:tc>
          <w:tcPr>
            <w:tcW w:type="dxa" w:w="2551"/>
            <w:shd w:val="clear" w:color="auto" w:fill="F7F9FC"/>
          </w:tcPr>
          <w:p>
            <w:pPr>
              <w:spacing w:before="60" w:after="60"/>
            </w:pPr>
            <w:r>
              <w:rPr>
                <w:b/>
                <w:color w:val="1F3564"/>
                <w:sz w:val="18"/>
              </w:rPr>
              <w:t>Container Registry</w:t>
            </w:r>
          </w:p>
        </w:tc>
        <w:tc>
          <w:tcPr>
            <w:tcW w:type="dxa" w:w="3005"/>
            <w:shd w:val="clear" w:color="auto" w:fill="F7F9FC"/>
          </w:tcPr>
          <w:p>
            <w:pPr>
              <w:spacing w:before="60" w:after="60"/>
            </w:pPr>
            <w:r>
              <w:rPr>
                <w:b w:val="0"/>
                <w:sz w:val="18"/>
              </w:rPr>
              <w:t>pmidcio/</w:t>
            </w:r>
          </w:p>
        </w:tc>
        <w:tc>
          <w:tcPr>
            <w:tcW w:type="dxa" w:w="1814"/>
            <w:shd w:val="clear" w:color="auto" w:fill="F7F9FC"/>
          </w:tcPr>
          <w:p>
            <w:pPr>
              <w:spacing w:before="60" w:after="60"/>
            </w:pPr>
            <w:r>
              <w:rPr>
                <w:b w:val="0"/>
                <w:sz w:val="18"/>
              </w:rPr>
              <w:t>All SDC envs</w:t>
            </w:r>
          </w:p>
        </w:tc>
        <w:tc>
          <w:tcPr>
            <w:tcW w:type="dxa" w:w="2494"/>
            <w:shd w:val="clear" w:color="auto" w:fill="F7F9FC"/>
          </w:tcPr>
          <w:p>
            <w:pPr>
              <w:spacing w:before="60" w:after="60"/>
            </w:pPr>
            <w:r>
              <w:rPr>
                <w:b w:val="0"/>
                <w:sz w:val="18"/>
              </w:rPr>
              <w:t>PMIDC private registry</w:t>
            </w:r>
          </w:p>
        </w:tc>
      </w:tr>
      <w:tr>
        <w:tc>
          <w:tcPr>
            <w:tcW w:type="dxa" w:w="2551"/>
            <w:shd w:val="clear" w:color="auto" w:fill="FFFFFF"/>
          </w:tcPr>
          <w:p>
            <w:pPr>
              <w:spacing w:before="60" w:after="60"/>
            </w:pPr>
            <w:r>
              <w:rPr>
                <w:b/>
                <w:color w:val="1F3564"/>
                <w:sz w:val="18"/>
              </w:rPr>
              <w:t>TF State (CI cluster only)</w:t>
            </w:r>
          </w:p>
        </w:tc>
        <w:tc>
          <w:tcPr>
            <w:tcW w:type="dxa" w:w="3005"/>
            <w:shd w:val="clear" w:color="auto" w:fill="FFFFFF"/>
          </w:tcPr>
          <w:p>
            <w:pPr>
              <w:spacing w:before="60" w:after="60"/>
            </w:pPr>
            <w:r>
              <w:rPr>
                <w:b w:val="0"/>
                <w:sz w:val="18"/>
              </w:rPr>
              <w:t>s3://pmidc-cicd-terraform-state-store</w:t>
            </w:r>
          </w:p>
        </w:tc>
        <w:tc>
          <w:tcPr>
            <w:tcW w:type="dxa" w:w="1814"/>
            <w:shd w:val="clear" w:color="auto" w:fill="FFFFFF"/>
          </w:tcPr>
          <w:p>
            <w:pPr>
              <w:spacing w:before="60" w:after="60"/>
            </w:pPr>
            <w:r>
              <w:rPr>
                <w:b w:val="0"/>
                <w:sz w:val="18"/>
              </w:rPr>
              <w:t>Jenkins CI</w:t>
            </w:r>
          </w:p>
        </w:tc>
        <w:tc>
          <w:tcPr>
            <w:tcW w:type="dxa" w:w="2494"/>
            <w:shd w:val="clear" w:color="auto" w:fill="FFFFFF"/>
          </w:tcPr>
          <w:p>
            <w:pPr>
              <w:spacing w:before="60" w:after="60"/>
            </w:pPr>
            <w:r>
              <w:rPr>
                <w:b w:val="0"/>
                <w:sz w:val="18"/>
              </w:rPr>
              <w:t>Only CI cluster uses TF</w:t>
            </w:r>
          </w:p>
        </w:tc>
      </w:tr>
    </w:tbl>
    <w:p>
      <w:pPr>
        <w:spacing w:before="0" w:after="120"/>
      </w:pPr>
    </w:p>
    <w:p>
      <w:pPr>
        <w:spacing w:before="0" w:after="80"/>
      </w:pP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tblBorders>
      </w:tblPr>
      <w:tblGrid>
        <w:gridCol w:w="10200"/>
      </w:tblGrid>
      <w:tr>
        <w:tc>
          <w:tcPr>
            <w:tcW w:type="dxa" w:w="9865"/>
            <w:shd w:val="clear" w:color="auto" w:fill="ED7D31"/>
            <w:vAlign w:val="center"/>
          </w:tcPr>
          <w:p>
            <w:pPr>
              <w:spacing w:before="140" w:after="140"/>
              <w:jc w:val="center"/>
            </w:pPr>
            <w:r>
              <w:rPr>
                <w:b/>
                <w:color w:val="FFFFFF"/>
                <w:sz w:val="22"/>
              </w:rPr>
              <w:t>IMPORTANT: gitSync branch is PROD_V2 on all SDC environments.</w:t>
            </w:r>
            <w:r>
              <w:rPr>
                <w:b w:val="0"/>
                <w:i/>
                <w:color w:val="FFFFFF"/>
                <w:sz w:val="17"/>
              </w:rPr>
              <w:br/>
              <w:t>All config repos (punjab-mdms-data, punjab-rainmaker-customization) must have changes merged to the PROD_V2 branch — NOT master — for them to take effect on SDC.</w:t>
            </w:r>
          </w:p>
        </w:tc>
      </w:tr>
    </w:tbl>
    <w:p>
      <w:pPr>
        <w:spacing w:before="0" w:after="0"/>
      </w:pP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