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53BF" w14:textId="77777777" w:rsidR="00F547F4" w:rsidRDefault="00000000">
      <w:pPr>
        <w:pStyle w:val="Heading1"/>
        <w:spacing w:after="178"/>
        <w:ind w:left="-5"/>
      </w:pPr>
      <w:r>
        <w:t xml:space="preserve">Kingston University Institutional Performance Example Dashboard </w:t>
      </w:r>
    </w:p>
    <w:p w14:paraId="3B4E7B70" w14:textId="77777777" w:rsidR="00F547F4" w:rsidRDefault="00000000">
      <w:pPr>
        <w:spacing w:after="340" w:line="259" w:lineRule="auto"/>
        <w:ind w:left="-5"/>
      </w:pPr>
      <w:r>
        <w:rPr>
          <w:b/>
          <w:sz w:val="27"/>
        </w:rPr>
        <w:t xml:space="preserve">TEF/B3-style Student Outcomes: Continuation (Benchmark vs Provider) </w:t>
      </w:r>
    </w:p>
    <w:p w14:paraId="4CE2423E" w14:textId="77777777" w:rsidR="00F547F4" w:rsidRDefault="00000000">
      <w:pPr>
        <w:pStyle w:val="Heading1"/>
        <w:ind w:left="-5"/>
      </w:pPr>
      <w:r>
        <w:t xml:space="preserve">Executive Summary </w:t>
      </w:r>
    </w:p>
    <w:p w14:paraId="1F14141A" w14:textId="77777777" w:rsidR="00F547F4" w:rsidRDefault="00000000">
      <w:pPr>
        <w:spacing w:after="266"/>
        <w:ind w:left="-5"/>
      </w:pPr>
      <w:r>
        <w:t xml:space="preserve">This project was created as an example dashboard to demonstrate how I would approach the core requirements of Kingston’s Institutional Performance Data Insight Lead role: turning complex sector datasets into clear, reliable and decision-ready insight, and delivering outputs that support planning, course monitoring and enhancement. </w:t>
      </w:r>
    </w:p>
    <w:p w14:paraId="6053D92C" w14:textId="77777777" w:rsidR="00F547F4" w:rsidRDefault="00000000">
      <w:pPr>
        <w:spacing w:after="270"/>
        <w:ind w:left="-5"/>
      </w:pPr>
      <w:r>
        <w:t xml:space="preserve">To keep the work realistic for a short portfolio piece, I deliberately selected two example cuts from the wider </w:t>
      </w:r>
      <w:proofErr w:type="spellStart"/>
      <w:r>
        <w:t>OfS</w:t>
      </w:r>
      <w:proofErr w:type="spellEnd"/>
      <w:r>
        <w:t xml:space="preserve"> student outcomes indicator dataset: </w:t>
      </w:r>
    </w:p>
    <w:p w14:paraId="0BBF61E0" w14:textId="77777777" w:rsidR="00F547F4" w:rsidRDefault="00000000">
      <w:pPr>
        <w:spacing w:after="367" w:line="259" w:lineRule="auto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Continuation for First Degree, Taught provision, split by subject</w:t>
      </w:r>
      <w:r>
        <w:t xml:space="preserve"> 2.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Continuation for All Undergraduates, filtered to MODE = Apprenticeship</w:t>
      </w:r>
      <w:r>
        <w:t xml:space="preserve"> </w:t>
      </w:r>
    </w:p>
    <w:p w14:paraId="481A8FA3" w14:textId="77777777" w:rsidR="00F547F4" w:rsidRDefault="00000000">
      <w:pPr>
        <w:pStyle w:val="Heading1"/>
        <w:ind w:left="-5"/>
      </w:pPr>
      <w:r>
        <w:t xml:space="preserve">Introduction </w:t>
      </w:r>
    </w:p>
    <w:p w14:paraId="3E054212" w14:textId="77777777" w:rsidR="00F547F4" w:rsidRDefault="00000000">
      <w:pPr>
        <w:ind w:left="-5"/>
      </w:pPr>
      <w:r>
        <w:t xml:space="preserve">The Planning / Institutional Performance function is responsible for translating multiple internal and external data sources into insight that supports course planning, annual monitoring, enhancement and student success. This example dashboard demonstrates a practical approach to that work using publicly available outcomes indicators: </w:t>
      </w:r>
    </w:p>
    <w:p w14:paraId="6AC48EEB" w14:textId="77777777" w:rsidR="00F547F4" w:rsidRDefault="00000000">
      <w:pPr>
        <w:numPr>
          <w:ilvl w:val="0"/>
          <w:numId w:val="1"/>
        </w:numPr>
        <w:ind w:hanging="144"/>
      </w:pPr>
      <w:r>
        <w:t xml:space="preserve">selecting a metric that supports institutional review, </w:t>
      </w:r>
    </w:p>
    <w:p w14:paraId="11ABBA2C" w14:textId="77777777" w:rsidR="00F547F4" w:rsidRDefault="00000000">
      <w:pPr>
        <w:numPr>
          <w:ilvl w:val="0"/>
          <w:numId w:val="1"/>
        </w:numPr>
        <w:ind w:hanging="144"/>
      </w:pPr>
      <w:r>
        <w:t xml:space="preserve">creating clean, consistent analysis outputs, </w:t>
      </w:r>
    </w:p>
    <w:p w14:paraId="0411D393" w14:textId="77777777" w:rsidR="00F547F4" w:rsidRDefault="00000000">
      <w:pPr>
        <w:numPr>
          <w:ilvl w:val="0"/>
          <w:numId w:val="1"/>
        </w:numPr>
        <w:ind w:hanging="144"/>
      </w:pPr>
      <w:r>
        <w:t xml:space="preserve">producing Tableau-ready extracts, and </w:t>
      </w:r>
    </w:p>
    <w:p w14:paraId="3AEE5A9C" w14:textId="77777777" w:rsidR="00F547F4" w:rsidRDefault="00000000">
      <w:pPr>
        <w:numPr>
          <w:ilvl w:val="0"/>
          <w:numId w:val="1"/>
        </w:numPr>
        <w:spacing w:after="383"/>
        <w:ind w:hanging="144"/>
      </w:pPr>
      <w:r>
        <w:t xml:space="preserve">presenting results in a way that can be used confidently by non-technical stakeholders. </w:t>
      </w:r>
    </w:p>
    <w:p w14:paraId="6516F2F4" w14:textId="77777777" w:rsidR="00F547F4" w:rsidRDefault="00000000">
      <w:pPr>
        <w:pStyle w:val="Heading1"/>
        <w:spacing w:after="173"/>
        <w:ind w:left="-5"/>
      </w:pPr>
      <w:r>
        <w:t xml:space="preserve">Methods </w:t>
      </w:r>
    </w:p>
    <w:p w14:paraId="3C736424" w14:textId="77777777" w:rsidR="00F547F4" w:rsidRDefault="00000000">
      <w:pPr>
        <w:pStyle w:val="Heading2"/>
        <w:spacing w:after="220"/>
        <w:ind w:left="-5"/>
      </w:pPr>
      <w:r>
        <w:rPr>
          <w:sz w:val="27"/>
        </w:rPr>
        <w:t xml:space="preserve">Data sources </w:t>
      </w:r>
    </w:p>
    <w:p w14:paraId="31D58954" w14:textId="77777777" w:rsidR="00F547F4" w:rsidRDefault="00000000">
      <w:pPr>
        <w:spacing w:after="266"/>
        <w:ind w:left="-5"/>
      </w:pPr>
      <w:r>
        <w:t xml:space="preserve">This work uses published outcomes indicator data and associated definitions and </w:t>
      </w:r>
      <w:proofErr w:type="spellStart"/>
      <w:r>
        <w:t>codelists</w:t>
      </w:r>
      <w:proofErr w:type="spellEnd"/>
      <w:r>
        <w:t xml:space="preserve"> to interpret coded fields (for example, subject coding, split categories and population definitions) consistently. </w:t>
      </w:r>
    </w:p>
    <w:p w14:paraId="68022398" w14:textId="77777777" w:rsidR="00F547F4" w:rsidRDefault="00000000">
      <w:pPr>
        <w:spacing w:after="295"/>
        <w:ind w:left="-5"/>
      </w:pPr>
      <w:r>
        <w:t xml:space="preserve">Rather than attempting a broad dashboard covering many KPIs at once, I used two selected examples to demonstrate a pattern Kingston could scale across additional </w:t>
      </w:r>
      <w:proofErr w:type="gramStart"/>
      <w:r>
        <w:t>outcomes</w:t>
      </w:r>
      <w:proofErr w:type="gramEnd"/>
      <w:r>
        <w:t xml:space="preserve"> measures and monitoring requirements. </w:t>
      </w:r>
    </w:p>
    <w:p w14:paraId="351C7462" w14:textId="77777777" w:rsidR="00F547F4" w:rsidRDefault="00000000">
      <w:pPr>
        <w:pStyle w:val="Heading2"/>
        <w:spacing w:after="220"/>
        <w:ind w:left="-5"/>
      </w:pPr>
      <w:r>
        <w:rPr>
          <w:sz w:val="27"/>
        </w:rPr>
        <w:t xml:space="preserve">Data preparation and quality checks (example workflow) </w:t>
      </w:r>
    </w:p>
    <w:p w14:paraId="1FA9983D" w14:textId="77777777" w:rsidR="00F547F4" w:rsidRDefault="00000000">
      <w:pPr>
        <w:ind w:left="-5"/>
      </w:pPr>
      <w:r>
        <w:t xml:space="preserve">For each cut, I applied a consistent preparation approach: </w:t>
      </w:r>
    </w:p>
    <w:p w14:paraId="48421E52" w14:textId="77777777" w:rsidR="00F547F4" w:rsidRDefault="00000000">
      <w:pPr>
        <w:numPr>
          <w:ilvl w:val="0"/>
          <w:numId w:val="2"/>
        </w:numPr>
        <w:ind w:hanging="144"/>
      </w:pPr>
      <w:r>
        <w:t xml:space="preserve">Filter to the target indicator: </w:t>
      </w:r>
      <w:r>
        <w:rPr>
          <w:b/>
        </w:rPr>
        <w:t>Continuation</w:t>
      </w:r>
      <w:r>
        <w:t xml:space="preserve"> </w:t>
      </w:r>
    </w:p>
    <w:p w14:paraId="2B92188A" w14:textId="77777777" w:rsidR="00F547F4" w:rsidRDefault="00000000">
      <w:pPr>
        <w:numPr>
          <w:ilvl w:val="0"/>
          <w:numId w:val="2"/>
        </w:numPr>
        <w:ind w:hanging="144"/>
      </w:pPr>
      <w:r>
        <w:t>Filter to the relevant population definition (</w:t>
      </w:r>
      <w:r>
        <w:rPr>
          <w:b/>
        </w:rPr>
        <w:t>level, mode, taught and split type</w:t>
      </w:r>
      <w:r>
        <w:t xml:space="preserve">) </w:t>
      </w:r>
    </w:p>
    <w:p w14:paraId="1EC43D6D" w14:textId="77777777" w:rsidR="00F547F4" w:rsidRDefault="00000000">
      <w:pPr>
        <w:numPr>
          <w:ilvl w:val="0"/>
          <w:numId w:val="2"/>
        </w:numPr>
        <w:ind w:hanging="144"/>
      </w:pPr>
      <w:r>
        <w:lastRenderedPageBreak/>
        <w:t xml:space="preserve">Remove duplicated and suppressed or unpublished rows, and check missingness </w:t>
      </w:r>
    </w:p>
    <w:p w14:paraId="69754986" w14:textId="77777777" w:rsidR="00F547F4" w:rsidRDefault="00000000">
      <w:pPr>
        <w:numPr>
          <w:ilvl w:val="0"/>
          <w:numId w:val="2"/>
        </w:numPr>
        <w:ind w:hanging="144"/>
      </w:pPr>
      <w:r>
        <w:t>Standardise data types (</w:t>
      </w:r>
      <w:r>
        <w:rPr>
          <w:b/>
        </w:rPr>
        <w:t>numeric measures and denominators</w:t>
      </w:r>
      <w:r>
        <w:t xml:space="preserve">) • Create dashboard fields to support interpretation: </w:t>
      </w:r>
    </w:p>
    <w:p w14:paraId="53928C18" w14:textId="77777777" w:rsidR="00F547F4" w:rsidRDefault="00000000">
      <w:pPr>
        <w:numPr>
          <w:ilvl w:val="0"/>
          <w:numId w:val="3"/>
        </w:numPr>
        <w:ind w:hanging="140"/>
      </w:pPr>
      <w:r>
        <w:t xml:space="preserve">a </w:t>
      </w:r>
      <w:r>
        <w:rPr>
          <w:b/>
        </w:rPr>
        <w:t>gap-to-benchmark flag</w:t>
      </w:r>
      <w:r>
        <w:t xml:space="preserve"> (for example, Focus / Watch / OK) </w:t>
      </w:r>
    </w:p>
    <w:p w14:paraId="38155C92" w14:textId="77777777" w:rsidR="00F547F4" w:rsidRDefault="00000000">
      <w:pPr>
        <w:numPr>
          <w:ilvl w:val="0"/>
          <w:numId w:val="3"/>
        </w:numPr>
        <w:ind w:hanging="140"/>
      </w:pPr>
      <w:r>
        <w:t xml:space="preserve">a </w:t>
      </w:r>
      <w:r>
        <w:rPr>
          <w:b/>
        </w:rPr>
        <w:t>small cohort flag</w:t>
      </w:r>
      <w:r>
        <w:t xml:space="preserve"> (to avoid over-interpreting unstable results) </w:t>
      </w:r>
    </w:p>
    <w:p w14:paraId="268D1D70" w14:textId="77777777" w:rsidR="00F547F4" w:rsidRDefault="00000000">
      <w:pPr>
        <w:spacing w:after="386"/>
        <w:ind w:left="-5"/>
      </w:pPr>
      <w:r>
        <w:t xml:space="preserve">• Produce clean, Tableau-ready extracts so the dashboard can be built without complex transformations inside Tableau </w:t>
      </w:r>
    </w:p>
    <w:p w14:paraId="0EAF27B5" w14:textId="77777777" w:rsidR="00F547F4" w:rsidRDefault="00000000">
      <w:pPr>
        <w:pStyle w:val="Heading1"/>
        <w:spacing w:after="173"/>
        <w:ind w:left="-5"/>
      </w:pPr>
      <w:r>
        <w:t xml:space="preserve">Results </w:t>
      </w:r>
    </w:p>
    <w:p w14:paraId="7093124F" w14:textId="77777777" w:rsidR="00F547F4" w:rsidRDefault="00000000">
      <w:pPr>
        <w:pStyle w:val="Heading2"/>
        <w:spacing w:after="220"/>
        <w:ind w:left="-5"/>
      </w:pPr>
      <w:r>
        <w:rPr>
          <w:sz w:val="27"/>
        </w:rPr>
        <w:t xml:space="preserve">Output 1: First Degree (Taught) continuation by subject </w:t>
      </w:r>
    </w:p>
    <w:p w14:paraId="55324C72" w14:textId="77777777" w:rsidR="00F547F4" w:rsidRDefault="00000000">
      <w:pPr>
        <w:ind w:left="-5"/>
      </w:pPr>
      <w:r>
        <w:t xml:space="preserve">This view supports course portfolio discussions by showing: </w:t>
      </w:r>
    </w:p>
    <w:p w14:paraId="05AB930D" w14:textId="77777777" w:rsidR="00F547F4" w:rsidRDefault="00000000">
      <w:pPr>
        <w:numPr>
          <w:ilvl w:val="0"/>
          <w:numId w:val="4"/>
        </w:numPr>
        <w:ind w:hanging="144"/>
      </w:pPr>
      <w:r>
        <w:t xml:space="preserve">where continuation is below benchmark, </w:t>
      </w:r>
    </w:p>
    <w:p w14:paraId="223500D6" w14:textId="77777777" w:rsidR="00F547F4" w:rsidRDefault="00000000">
      <w:pPr>
        <w:numPr>
          <w:ilvl w:val="0"/>
          <w:numId w:val="4"/>
        </w:numPr>
        <w:ind w:hanging="144"/>
      </w:pPr>
      <w:r>
        <w:t xml:space="preserve">how large the gap is, and </w:t>
      </w:r>
    </w:p>
    <w:p w14:paraId="666DE489" w14:textId="77777777" w:rsidR="00F547F4" w:rsidRDefault="00000000">
      <w:pPr>
        <w:numPr>
          <w:ilvl w:val="0"/>
          <w:numId w:val="4"/>
        </w:numPr>
        <w:spacing w:after="263"/>
        <w:ind w:hanging="144"/>
      </w:pPr>
      <w:r>
        <w:t xml:space="preserve">whether the cohort is large enough for the result to be meaningful. </w:t>
      </w:r>
    </w:p>
    <w:p w14:paraId="20E550F6" w14:textId="77777777" w:rsidR="00F547F4" w:rsidRDefault="00000000">
      <w:pPr>
        <w:ind w:left="-5"/>
      </w:pPr>
      <w:r>
        <w:t xml:space="preserve">It is designed to support questions such as: </w:t>
      </w:r>
    </w:p>
    <w:p w14:paraId="185FA424" w14:textId="77777777" w:rsidR="00F547F4" w:rsidRDefault="00000000">
      <w:pPr>
        <w:numPr>
          <w:ilvl w:val="0"/>
          <w:numId w:val="4"/>
        </w:numPr>
        <w:ind w:hanging="144"/>
      </w:pPr>
      <w:r>
        <w:t xml:space="preserve">Which subject areas are furthest below benchmark? </w:t>
      </w:r>
    </w:p>
    <w:p w14:paraId="2828CA74" w14:textId="77777777" w:rsidR="00F547F4" w:rsidRDefault="00000000">
      <w:pPr>
        <w:numPr>
          <w:ilvl w:val="0"/>
          <w:numId w:val="4"/>
        </w:numPr>
        <w:ind w:hanging="144"/>
      </w:pPr>
      <w:r>
        <w:t xml:space="preserve">Where should we focus first if resources are limited? </w:t>
      </w:r>
    </w:p>
    <w:p w14:paraId="3FEB81A8" w14:textId="77777777" w:rsidR="00F547F4" w:rsidRDefault="00000000">
      <w:pPr>
        <w:numPr>
          <w:ilvl w:val="0"/>
          <w:numId w:val="4"/>
        </w:numPr>
        <w:spacing w:after="297"/>
        <w:ind w:hanging="144"/>
      </w:pPr>
      <w:r>
        <w:t xml:space="preserve">Which areas warrant deeper follow-up with faculty and services? </w:t>
      </w:r>
    </w:p>
    <w:p w14:paraId="48D9E8BE" w14:textId="77777777" w:rsidR="00F547F4" w:rsidRDefault="00000000">
      <w:pPr>
        <w:pStyle w:val="Heading2"/>
        <w:spacing w:after="220"/>
        <w:ind w:left="-5"/>
      </w:pPr>
      <w:r>
        <w:rPr>
          <w:sz w:val="27"/>
        </w:rPr>
        <w:t xml:space="preserve">How to interpret the “impact estimate” in the subject dashboard </w:t>
      </w:r>
    </w:p>
    <w:p w14:paraId="6AC28B46" w14:textId="77777777" w:rsidR="00F547F4" w:rsidRDefault="00000000">
      <w:pPr>
        <w:spacing w:after="266"/>
        <w:ind w:left="-5"/>
      </w:pPr>
      <w:r>
        <w:t xml:space="preserve">The subject view includes an </w:t>
      </w:r>
      <w:r>
        <w:rPr>
          <w:b/>
        </w:rPr>
        <w:t>impact estimate</w:t>
      </w:r>
      <w:r>
        <w:t xml:space="preserve"> to support prioritisation. It is a directional translation of the percentage-point gap into an approximate “student-equivalent” number. </w:t>
      </w:r>
    </w:p>
    <w:p w14:paraId="4465FCDB" w14:textId="77777777" w:rsidR="00F547F4" w:rsidRDefault="00000000">
      <w:pPr>
        <w:pStyle w:val="Heading3"/>
        <w:ind w:left="10"/>
      </w:pPr>
      <w:r>
        <w:t>What it means</w:t>
      </w:r>
      <w:r>
        <w:rPr>
          <w:b w:val="0"/>
        </w:rPr>
        <w:t xml:space="preserve"> </w:t>
      </w:r>
    </w:p>
    <w:p w14:paraId="17A24423" w14:textId="77777777" w:rsidR="00F547F4" w:rsidRDefault="00000000">
      <w:pPr>
        <w:numPr>
          <w:ilvl w:val="0"/>
          <w:numId w:val="5"/>
        </w:numPr>
        <w:ind w:hanging="144"/>
      </w:pPr>
      <w:r>
        <w:t xml:space="preserve">It converts the </w:t>
      </w:r>
      <w:r>
        <w:rPr>
          <w:b/>
        </w:rPr>
        <w:t>gap to benchmark</w:t>
      </w:r>
      <w:r>
        <w:t xml:space="preserve"> into an approximate count using the cohort denominator. </w:t>
      </w:r>
    </w:p>
    <w:p w14:paraId="471CBFBE" w14:textId="77777777" w:rsidR="00F547F4" w:rsidRDefault="00000000">
      <w:pPr>
        <w:numPr>
          <w:ilvl w:val="0"/>
          <w:numId w:val="5"/>
        </w:numPr>
        <w:ind w:hanging="144"/>
      </w:pPr>
      <w:r>
        <w:t xml:space="preserve">In simple terms: </w:t>
      </w:r>
    </w:p>
    <w:p w14:paraId="34F4AB60" w14:textId="77777777" w:rsidR="00F547F4" w:rsidRDefault="00000000">
      <w:pPr>
        <w:spacing w:after="252" w:line="259" w:lineRule="auto"/>
      </w:pPr>
      <w:r>
        <w:rPr>
          <w:b/>
        </w:rPr>
        <w:t>Impact estimate ≈ (Gap to benchmark in percentage points ÷ 100) × Cohort size</w:t>
      </w:r>
      <w:r>
        <w:t xml:space="preserve"> </w:t>
      </w:r>
    </w:p>
    <w:p w14:paraId="295F4310" w14:textId="77777777" w:rsidR="00F547F4" w:rsidRDefault="00000000">
      <w:pPr>
        <w:spacing w:after="0" w:line="259" w:lineRule="auto"/>
      </w:pPr>
      <w:r>
        <w:rPr>
          <w:b/>
        </w:rPr>
        <w:t>How to read it (example)</w:t>
      </w:r>
      <w:r>
        <w:t xml:space="preserve"> </w:t>
      </w:r>
    </w:p>
    <w:p w14:paraId="469C97B3" w14:textId="77777777" w:rsidR="00F547F4" w:rsidRDefault="00000000">
      <w:pPr>
        <w:numPr>
          <w:ilvl w:val="0"/>
          <w:numId w:val="5"/>
        </w:numPr>
        <w:ind w:hanging="144"/>
      </w:pPr>
      <w:r>
        <w:t xml:space="preserve">If a subject is </w:t>
      </w:r>
      <w:r>
        <w:rPr>
          <w:b/>
        </w:rPr>
        <w:t>-5pp</w:t>
      </w:r>
      <w:r>
        <w:t xml:space="preserve"> below benchmark and the cohort size is </w:t>
      </w:r>
      <w:r>
        <w:rPr>
          <w:b/>
        </w:rPr>
        <w:t>200</w:t>
      </w:r>
      <w:r>
        <w:t xml:space="preserve">, then: </w:t>
      </w:r>
    </w:p>
    <w:p w14:paraId="00749489" w14:textId="77777777" w:rsidR="00F547F4" w:rsidRDefault="00000000">
      <w:pPr>
        <w:pStyle w:val="Heading3"/>
        <w:ind w:left="10"/>
      </w:pPr>
      <w:r>
        <w:t>-5/100 × 200 ≈ -10</w:t>
      </w:r>
      <w:r>
        <w:rPr>
          <w:b w:val="0"/>
        </w:rPr>
        <w:t xml:space="preserve"> </w:t>
      </w:r>
    </w:p>
    <w:p w14:paraId="1372EB78" w14:textId="77777777" w:rsidR="00F547F4" w:rsidRDefault="00000000">
      <w:pPr>
        <w:spacing w:after="266"/>
        <w:ind w:left="-5"/>
      </w:pPr>
      <w:r>
        <w:t xml:space="preserve">This suggests that, if performance matched benchmark, the difference is roughly equivalent to </w:t>
      </w:r>
      <w:r>
        <w:rPr>
          <w:b/>
        </w:rPr>
        <w:t>around 10 additional students continuing</w:t>
      </w:r>
      <w:r>
        <w:t xml:space="preserve"> (as an approximate scale of impact). </w:t>
      </w:r>
    </w:p>
    <w:p w14:paraId="3AC007B4" w14:textId="77777777" w:rsidR="00F547F4" w:rsidRDefault="00000000">
      <w:pPr>
        <w:pStyle w:val="Heading3"/>
        <w:ind w:left="10"/>
      </w:pPr>
      <w:r>
        <w:t>What it is for</w:t>
      </w:r>
      <w:r>
        <w:rPr>
          <w:b w:val="0"/>
        </w:rPr>
        <w:t xml:space="preserve"> </w:t>
      </w:r>
    </w:p>
    <w:p w14:paraId="73F450B4" w14:textId="77777777" w:rsidR="00F547F4" w:rsidRDefault="00000000">
      <w:pPr>
        <w:spacing w:after="299"/>
        <w:ind w:left="-5"/>
      </w:pPr>
      <w:r>
        <w:t xml:space="preserve">• It helps prioritise attention: a moderate gap in a large cohort can represent a larger institutional impact than a large gap in a very small cohort. </w:t>
      </w:r>
    </w:p>
    <w:p w14:paraId="7EC8F67C" w14:textId="77777777" w:rsidR="00F547F4" w:rsidRDefault="00000000">
      <w:pPr>
        <w:pStyle w:val="Heading2"/>
        <w:spacing w:after="220"/>
        <w:ind w:left="-5"/>
      </w:pPr>
      <w:r>
        <w:rPr>
          <w:sz w:val="27"/>
        </w:rPr>
        <w:t xml:space="preserve">Output 2: All Undergraduates continuation monitoring (Apprenticeship-only) </w:t>
      </w:r>
    </w:p>
    <w:p w14:paraId="7EA4DEDD" w14:textId="77777777" w:rsidR="00F547F4" w:rsidRDefault="00000000">
      <w:pPr>
        <w:spacing w:after="386"/>
        <w:ind w:left="-5"/>
      </w:pPr>
      <w:r>
        <w:t xml:space="preserve">This view supports </w:t>
      </w:r>
      <w:r>
        <w:rPr>
          <w:b/>
        </w:rPr>
        <w:t>annual monitoring</w:t>
      </w:r>
      <w:r>
        <w:t xml:space="preserve">. It is useful for monitoring continuation across common split dimensions used in institutional reporting and supporting targeted enhancement planning, particularly where apprenticeship provision is a strategic area. </w:t>
      </w:r>
    </w:p>
    <w:p w14:paraId="1606D32D" w14:textId="77777777" w:rsidR="00F547F4" w:rsidRDefault="00000000">
      <w:pPr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 </w:t>
      </w:r>
    </w:p>
    <w:p w14:paraId="1EE027D0" w14:textId="77777777" w:rsidR="00F547F4" w:rsidRDefault="00000000">
      <w:pPr>
        <w:pStyle w:val="Heading1"/>
        <w:ind w:left="-5"/>
      </w:pPr>
      <w:r>
        <w:t xml:space="preserve">Conclusions </w:t>
      </w:r>
    </w:p>
    <w:p w14:paraId="18640E76" w14:textId="77777777" w:rsidR="00F547F4" w:rsidRDefault="00000000">
      <w:pPr>
        <w:spacing w:after="261"/>
        <w:ind w:left="-5"/>
      </w:pPr>
      <w:r>
        <w:t xml:space="preserve">This example dashboard demonstrates how published outcomes indicators can be shaped into clear monitoring outputs and Tableau-ready extracts using a transparent workflow that supports data confidence and consistent interpretation. </w:t>
      </w:r>
    </w:p>
    <w:p w14:paraId="518B8BAC" w14:textId="77777777" w:rsidR="00F547F4" w:rsidRDefault="00000000">
      <w:pPr>
        <w:spacing w:after="386"/>
        <w:ind w:left="-5"/>
      </w:pPr>
      <w:r>
        <w:t xml:space="preserve">It is intentionally a starting point. The greatest value comes from scaling the approach across additional KPIs, adding trend context, and linking outcomes to internal lead indicators that enable earlier intervention rather than post-hoc reporting. </w:t>
      </w:r>
    </w:p>
    <w:p w14:paraId="717A3846" w14:textId="77777777" w:rsidR="00F547F4" w:rsidRDefault="00000000">
      <w:pPr>
        <w:pStyle w:val="Heading1"/>
        <w:ind w:left="-5"/>
      </w:pPr>
      <w:r>
        <w:t xml:space="preserve">Recommended next steps </w:t>
      </w:r>
    </w:p>
    <w:p w14:paraId="78CDB9C1" w14:textId="77777777" w:rsidR="00F547F4" w:rsidRDefault="00000000">
      <w:pPr>
        <w:spacing w:after="267"/>
        <w:ind w:left="-5"/>
      </w:pPr>
      <w:r>
        <w:t xml:space="preserve">In a live institutional setting, the next logical extensions would be: </w:t>
      </w:r>
    </w:p>
    <w:p w14:paraId="075C29B6" w14:textId="77777777" w:rsidR="00F547F4" w:rsidRDefault="00000000">
      <w:pPr>
        <w:pStyle w:val="Heading2"/>
        <w:ind w:left="355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Add additional outcomes measures</w:t>
      </w:r>
      <w:r>
        <w:rPr>
          <w:b w:val="0"/>
        </w:rPr>
        <w:t xml:space="preserve"> </w:t>
      </w:r>
    </w:p>
    <w:p w14:paraId="75B8E3AF" w14:textId="77777777" w:rsidR="00F547F4" w:rsidRDefault="00000000">
      <w:pPr>
        <w:ind w:left="730"/>
      </w:pPr>
      <w:r>
        <w:t xml:space="preserve">Extend beyond </w:t>
      </w:r>
      <w:r>
        <w:rPr>
          <w:b/>
        </w:rPr>
        <w:t>Continuation</w:t>
      </w:r>
      <w:r>
        <w:t xml:space="preserve"> to include </w:t>
      </w:r>
      <w:r>
        <w:rPr>
          <w:b/>
        </w:rPr>
        <w:t>Completion</w:t>
      </w:r>
      <w:r>
        <w:t xml:space="preserve"> and </w:t>
      </w:r>
      <w:r>
        <w:rPr>
          <w:b/>
        </w:rPr>
        <w:t>Progression</w:t>
      </w:r>
      <w:r>
        <w:t xml:space="preserve"> (and, where appropriate, </w:t>
      </w:r>
      <w:r>
        <w:rPr>
          <w:b/>
        </w:rPr>
        <w:t>Graduate Outcomes</w:t>
      </w:r>
      <w:r>
        <w:t xml:space="preserve">), so decision-makers see a rounded outcomes picture. </w:t>
      </w:r>
    </w:p>
    <w:p w14:paraId="5103B619" w14:textId="77777777" w:rsidR="00F547F4" w:rsidRDefault="00000000">
      <w:pPr>
        <w:pStyle w:val="Heading2"/>
        <w:ind w:left="355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>Add time trends</w:t>
      </w:r>
      <w:r>
        <w:rPr>
          <w:b w:val="0"/>
        </w:rPr>
        <w:t xml:space="preserve"> </w:t>
      </w:r>
    </w:p>
    <w:p w14:paraId="166DAAEF" w14:textId="77777777" w:rsidR="00F547F4" w:rsidRDefault="00000000">
      <w:pPr>
        <w:ind w:left="730"/>
      </w:pPr>
      <w:r>
        <w:t xml:space="preserve">Include multiple reporting windows and direction of travel (not only the latest snapshot), so users can see whether gaps are improving or worsening. </w:t>
      </w:r>
    </w:p>
    <w:p w14:paraId="0843621A" w14:textId="77777777" w:rsidR="00F547F4" w:rsidRDefault="00000000">
      <w:pPr>
        <w:pStyle w:val="Heading2"/>
        <w:ind w:left="355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>Strengthen the EDI / APP lens</w:t>
      </w:r>
      <w:r>
        <w:rPr>
          <w:b w:val="0"/>
        </w:rPr>
        <w:t xml:space="preserve"> </w:t>
      </w:r>
    </w:p>
    <w:p w14:paraId="1C1739AB" w14:textId="77777777" w:rsidR="00F547F4" w:rsidRDefault="00000000">
      <w:pPr>
        <w:ind w:left="730"/>
      </w:pPr>
      <w:r>
        <w:t xml:space="preserve">Build consistent gap reporting across key groups (for example, IMD/POLAR, disability, ethnicity, sex and age) with cohort-size flags and a clear prioritisation view. </w:t>
      </w:r>
    </w:p>
    <w:p w14:paraId="420C0DC4" w14:textId="77777777" w:rsidR="00F547F4" w:rsidRDefault="00000000">
      <w:pPr>
        <w:pStyle w:val="Heading2"/>
        <w:ind w:left="355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Add statistical context where available</w:t>
      </w:r>
      <w:r>
        <w:rPr>
          <w:b w:val="0"/>
        </w:rPr>
        <w:t xml:space="preserve"> </w:t>
      </w:r>
    </w:p>
    <w:p w14:paraId="6378FE54" w14:textId="77777777" w:rsidR="00F547F4" w:rsidRDefault="00000000">
      <w:pPr>
        <w:ind w:left="730"/>
      </w:pPr>
      <w:r>
        <w:t xml:space="preserve">Where the source supports it, use significance flags or confidence intervals so small cohort noise is not over-interpreted. </w:t>
      </w:r>
    </w:p>
    <w:p w14:paraId="33C1CC76" w14:textId="77777777" w:rsidR="00F547F4" w:rsidRDefault="00000000">
      <w:pPr>
        <w:ind w:left="720" w:right="133" w:hanging="360"/>
      </w:pPr>
      <w:r>
        <w:t>5.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Link outcomes to internal drivers (course and student experience)</w:t>
      </w:r>
      <w:r>
        <w:t xml:space="preserve"> Join outcomes monitoring to internal operational data (engagement, assessment, attendance, interruption reasons) to move from “what is happening” to “why it might be happening”. </w:t>
      </w:r>
    </w:p>
    <w:p w14:paraId="2CCD8C95" w14:textId="77777777" w:rsidR="00F547F4" w:rsidRDefault="00000000">
      <w:pPr>
        <w:pStyle w:val="Heading2"/>
        <w:ind w:left="355"/>
      </w:pPr>
      <w:r>
        <w:rPr>
          <w:b w:val="0"/>
        </w:rPr>
        <w:t>6.</w:t>
      </w:r>
      <w:r>
        <w:rPr>
          <w:rFonts w:ascii="Arial" w:eastAsia="Arial" w:hAnsi="Arial" w:cs="Arial"/>
          <w:b w:val="0"/>
        </w:rPr>
        <w:t xml:space="preserve"> </w:t>
      </w:r>
      <w:r>
        <w:t>Create lead indicators and early-warning views</w:t>
      </w:r>
      <w:r>
        <w:rPr>
          <w:b w:val="0"/>
        </w:rPr>
        <w:t xml:space="preserve"> </w:t>
      </w:r>
    </w:p>
    <w:p w14:paraId="6496EF11" w14:textId="77777777" w:rsidR="00F547F4" w:rsidRDefault="00000000">
      <w:pPr>
        <w:ind w:left="730"/>
      </w:pPr>
      <w:r>
        <w:t xml:space="preserve">Develop in-year indicators that correlate with continuation risk, so interventions can happen earlier, not after the end-of-year outcome. </w:t>
      </w:r>
    </w:p>
    <w:p w14:paraId="0D5E4F32" w14:textId="77777777" w:rsidR="00F547F4" w:rsidRDefault="00000000">
      <w:pPr>
        <w:pStyle w:val="Heading2"/>
        <w:ind w:left="355"/>
      </w:pPr>
      <w:r>
        <w:rPr>
          <w:b w:val="0"/>
        </w:rPr>
        <w:t>7.</w:t>
      </w:r>
      <w:r>
        <w:rPr>
          <w:rFonts w:ascii="Arial" w:eastAsia="Arial" w:hAnsi="Arial" w:cs="Arial"/>
          <w:b w:val="0"/>
        </w:rPr>
        <w:t xml:space="preserve"> </w:t>
      </w:r>
      <w:r>
        <w:t>Develop a student-level predictive model</w:t>
      </w:r>
      <w:r>
        <w:rPr>
          <w:b w:val="0"/>
        </w:rPr>
        <w:t xml:space="preserve"> </w:t>
      </w:r>
    </w:p>
    <w:p w14:paraId="022BBC3B" w14:textId="1D9ACEF8" w:rsidR="00F35E1F" w:rsidRDefault="00000000" w:rsidP="00F35E1F">
      <w:pPr>
        <w:spacing w:after="271"/>
        <w:ind w:left="730"/>
      </w:pPr>
      <w:r>
        <w:t xml:space="preserve">Alongside the dashboard, develop a </w:t>
      </w:r>
      <w:r>
        <w:rPr>
          <w:b/>
        </w:rPr>
        <w:t>student-level model</w:t>
      </w:r>
      <w:r>
        <w:t xml:space="preserve"> that predicts the probability that a student is at risk of withdrawing or not continuing. This moves from descriptive monitoring to proactive support. </w:t>
      </w:r>
    </w:p>
    <w:p w14:paraId="02312C90" w14:textId="77777777" w:rsidR="00F35E1F" w:rsidRDefault="00F35E1F" w:rsidP="00F35E1F">
      <w:pPr>
        <w:pStyle w:val="Heading1"/>
        <w:ind w:left="0" w:firstLine="0"/>
      </w:pPr>
    </w:p>
    <w:p w14:paraId="520B1505" w14:textId="141EF1DB" w:rsidR="00F35E1F" w:rsidRPr="00F35E1F" w:rsidRDefault="00F35E1F" w:rsidP="00F35E1F">
      <w:pPr>
        <w:pStyle w:val="Heading1"/>
        <w:ind w:left="0" w:firstLine="0"/>
      </w:pPr>
      <w:r>
        <w:t>Additional clarification on scope and dashboard structure (example only)</w:t>
      </w:r>
    </w:p>
    <w:p w14:paraId="7E12DE85" w14:textId="1BA53993" w:rsidR="00F35E1F" w:rsidRDefault="00F35E1F" w:rsidP="00F35E1F">
      <w:pPr>
        <w:pStyle w:val="NormalWeb"/>
      </w:pPr>
      <w:r>
        <w:t>This dashboard is intentionally a small example to demonstrate approach. It includes two different populations on the same dashboard page</w:t>
      </w:r>
      <w:r>
        <w:t xml:space="preserve">. </w:t>
      </w:r>
      <w:proofErr w:type="spellStart"/>
      <w:r>
        <w:t>In</w:t>
      </w:r>
      <w:proofErr w:type="spellEnd"/>
      <w:r>
        <w:t xml:space="preserve"> a live institutional setting, each population would be presented on a separate dashboard tab to avoid confusion and to ensure like-for-like comparisons. A standard structure would be:</w:t>
      </w:r>
    </w:p>
    <w:p w14:paraId="34EF8A08" w14:textId="209EA11A" w:rsidR="00F35E1F" w:rsidRDefault="00F35E1F" w:rsidP="00F35E1F">
      <w:pPr>
        <w:pStyle w:val="NormalWeb"/>
        <w:numPr>
          <w:ilvl w:val="0"/>
          <w:numId w:val="7"/>
        </w:numPr>
      </w:pPr>
      <w:r>
        <w:t>A dedicated page for each population (for example: Apprenticeships, First Degree Taught, Postgraduate Taught</w:t>
      </w:r>
      <w:r>
        <w:t xml:space="preserve"> etc.</w:t>
      </w:r>
      <w:r>
        <w:t>), each with consistent filters and definitions</w:t>
      </w:r>
    </w:p>
    <w:p w14:paraId="550507A1" w14:textId="4AE328C3" w:rsidR="00F35E1F" w:rsidRDefault="00F35E1F" w:rsidP="00F35E1F">
      <w:pPr>
        <w:pStyle w:val="NormalWeb"/>
        <w:numPr>
          <w:ilvl w:val="0"/>
          <w:numId w:val="7"/>
        </w:numPr>
      </w:pPr>
      <w:r>
        <w:t>A summary strip at the top of each page showing the key “what to focus on” items</w:t>
      </w:r>
      <w:r>
        <w:t>.</w:t>
      </w:r>
    </w:p>
    <w:p w14:paraId="1E71762F" w14:textId="74D3F335" w:rsidR="00F35E1F" w:rsidRDefault="00F35E1F" w:rsidP="00F35E1F">
      <w:pPr>
        <w:pStyle w:val="NormalWeb"/>
      </w:pPr>
      <w:r>
        <w:t>Beyond the summary strip, each population page would include supporting drill-down views (for example, trend by year/window, breakdown by protected characteristics and deprivation measures</w:t>
      </w:r>
      <w:r>
        <w:t xml:space="preserve"> etc.</w:t>
      </w:r>
      <w:r>
        <w:t>) so users can move from identification of priority areas to evidence-led investigation.</w:t>
      </w:r>
    </w:p>
    <w:p w14:paraId="453358C0" w14:textId="77777777" w:rsidR="00F35E1F" w:rsidRDefault="00F35E1F" w:rsidP="00F35E1F">
      <w:pPr>
        <w:spacing w:after="271"/>
      </w:pPr>
    </w:p>
    <w:p w14:paraId="044DB4A8" w14:textId="77777777" w:rsidR="00F547F4" w:rsidRDefault="00000000">
      <w:pPr>
        <w:spacing w:after="0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sectPr w:rsidR="00F547F4">
      <w:pgSz w:w="11904" w:h="16838"/>
      <w:pgMar w:top="1447" w:right="1447" w:bottom="15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14BD"/>
    <w:multiLevelType w:val="hybridMultilevel"/>
    <w:tmpl w:val="95660BAE"/>
    <w:lvl w:ilvl="0" w:tplc="8200AEBE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54D3FA">
      <w:start w:val="1"/>
      <w:numFmt w:val="bullet"/>
      <w:lvlText w:val="o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A65D5A">
      <w:start w:val="1"/>
      <w:numFmt w:val="bullet"/>
      <w:lvlText w:val="▪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C14DA">
      <w:start w:val="1"/>
      <w:numFmt w:val="bullet"/>
      <w:lvlText w:val="•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0BC10">
      <w:start w:val="1"/>
      <w:numFmt w:val="bullet"/>
      <w:lvlText w:val="o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18E3A6">
      <w:start w:val="1"/>
      <w:numFmt w:val="bullet"/>
      <w:lvlText w:val="▪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CFE96">
      <w:start w:val="1"/>
      <w:numFmt w:val="bullet"/>
      <w:lvlText w:val="•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D0E1BA">
      <w:start w:val="1"/>
      <w:numFmt w:val="bullet"/>
      <w:lvlText w:val="o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2CA92">
      <w:start w:val="1"/>
      <w:numFmt w:val="bullet"/>
      <w:lvlText w:val="▪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DA210B"/>
    <w:multiLevelType w:val="hybridMultilevel"/>
    <w:tmpl w:val="979E306E"/>
    <w:lvl w:ilvl="0" w:tplc="77DCAB9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D213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52E3A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A890D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24E2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3A8A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2E49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4250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F663F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696A5A"/>
    <w:multiLevelType w:val="hybridMultilevel"/>
    <w:tmpl w:val="9BA201A6"/>
    <w:lvl w:ilvl="0" w:tplc="745A295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2E138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6C3F3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095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B2E9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A1C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DCC03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8062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6A1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4210B2"/>
    <w:multiLevelType w:val="multilevel"/>
    <w:tmpl w:val="81B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A1458"/>
    <w:multiLevelType w:val="multilevel"/>
    <w:tmpl w:val="75F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276F6"/>
    <w:multiLevelType w:val="hybridMultilevel"/>
    <w:tmpl w:val="1EDC2C0A"/>
    <w:lvl w:ilvl="0" w:tplc="DB9C95D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5A3CF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2E9F5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66B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56D25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DC397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DA949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EC92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C063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8507D5"/>
    <w:multiLevelType w:val="hybridMultilevel"/>
    <w:tmpl w:val="31D2B0C2"/>
    <w:lvl w:ilvl="0" w:tplc="B5B6BBB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6F0F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867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FEC9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E285A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DAF1B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70E7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1049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CE391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8492032">
    <w:abstractNumId w:val="2"/>
  </w:num>
  <w:num w:numId="2" w16cid:durableId="56897875">
    <w:abstractNumId w:val="1"/>
  </w:num>
  <w:num w:numId="3" w16cid:durableId="668555255">
    <w:abstractNumId w:val="0"/>
  </w:num>
  <w:num w:numId="4" w16cid:durableId="789085746">
    <w:abstractNumId w:val="6"/>
  </w:num>
  <w:num w:numId="5" w16cid:durableId="1921403032">
    <w:abstractNumId w:val="5"/>
  </w:num>
  <w:num w:numId="6" w16cid:durableId="328559194">
    <w:abstractNumId w:val="3"/>
  </w:num>
  <w:num w:numId="7" w16cid:durableId="2010862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F4"/>
    <w:rsid w:val="00C403EE"/>
    <w:rsid w:val="00F35E1F"/>
    <w:rsid w:val="00F5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578F"/>
  <w15:docId w15:val="{0A7397D7-7F67-6647-ADE9-A48FDA24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 w:line="25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7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F35E1F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1005</Words>
  <Characters>6147</Characters>
  <Application>Microsoft Office Word</Application>
  <DocSecurity>0</DocSecurity>
  <Lines>120</Lines>
  <Paragraphs>89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Miedzinski</dc:creator>
  <cp:keywords/>
  <cp:lastModifiedBy>Pawel Miedzinski</cp:lastModifiedBy>
  <cp:revision>2</cp:revision>
  <cp:lastPrinted>2026-01-02T16:41:00Z</cp:lastPrinted>
  <dcterms:created xsi:type="dcterms:W3CDTF">2026-01-02T16:43:00Z</dcterms:created>
  <dcterms:modified xsi:type="dcterms:W3CDTF">2026-01-02T16:43:00Z</dcterms:modified>
</cp:coreProperties>
</file>