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0"/>
        <w:jc w:val="center"/>
      </w:pPr>
      <w:r>
        <w:rPr>
          <w:rFonts w:ascii="Arial" w:hAnsi="Arial" w:eastAsia="Arial"/>
          <w:b/>
          <w:sz w:val="36"/>
        </w:rPr>
        <w:t>УПРАВЛЕНЧЕСКАЯ ЗАПИСКА</w:t>
      </w:r>
    </w:p>
    <w:p>
      <w:pPr>
        <w:jc w:val="center"/>
      </w:pPr>
      <w:r>
        <w:rPr>
          <w:rFonts w:ascii="Arial" w:hAnsi="Arial" w:eastAsia="Arial"/>
          <w:b/>
          <w:sz w:val="30"/>
        </w:rPr>
        <w:t>Кейс 02 «Космос как инфраструктура»</w:t>
      </w:r>
    </w:p>
    <w:p>
      <w:pPr>
        <w:jc w:val="center"/>
      </w:pPr>
      <w:r>
        <w:rPr>
          <w:rFonts w:ascii="Arial" w:hAnsi="Arial" w:eastAsia="Arial"/>
          <w:sz w:val="24"/>
        </w:rPr>
        <w:t>Межрегиональный портфель космических сервисов общего пользования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" w:hAnsi="Arial" w:eastAsia="Arial"/>
                <w:sz w:val="18"/>
              </w:rPr>
              <w:t>Итоговый портфель команды: FIRE-A + ENV-A + AGRI-B + TRANS-B.</w:t>
              <w:br/>
              <w:t>Расчётная версия кейса: 1.1. Состояние материалов команды: 12.09.2026.</w:t>
            </w:r>
          </w:p>
        </w:tc>
      </w:tr>
    </w:tbl>
    <w:p/>
    <w:p>
      <w:pPr>
        <w:spacing w:before="2000"/>
        <w:jc w:val="center"/>
      </w:pPr>
      <w:r>
        <w:rPr>
          <w:rFonts w:ascii="Arial" w:hAnsi="Arial" w:eastAsia="Arial"/>
          <w:sz w:val="22"/>
        </w:rPr>
        <w:t>КосмоХакатон 2026</w:t>
      </w:r>
    </w:p>
    <w:p>
      <w:pPr>
        <w:jc w:val="center"/>
      </w:pPr>
      <w:r>
        <w:rPr>
          <w:rFonts w:ascii="Arial" w:hAnsi="Arial" w:eastAsia="Arial"/>
          <w:sz w:val="20"/>
        </w:rPr>
        <w:t>12 сентября 2026 г.</w:t>
      </w:r>
    </w:p>
    <w:p>
      <w:r/>
    </w:p>
    <w:p>
      <w:pPr>
        <w:pStyle w:val="Heading1"/>
      </w:pPr>
      <w:r>
        <w:t>1. Управленческое решение</w:t>
      </w:r>
    </w:p>
    <w:p>
      <w:r>
        <w:rPr>
          <w:rFonts w:ascii="Arial" w:hAnsi="Arial" w:eastAsia="Arial"/>
          <w:sz w:val="21"/>
        </w:rPr>
        <w:t>Задача кейса — выбрать при ограниченном бюджете портфель космических сервисов, обосновать его экономику и порядок реализации, а затем проверить устойчивость решения при сокращении бюджета. Команда не разрабатывает сами космические сервисы: программный инструмент служит для расчёта портфеля, проверки ограничений и сравнения сценариев.</w:t>
      </w:r>
    </w:p>
    <w:p>
      <w:r>
        <w:rPr>
          <w:rFonts w:ascii="Arial" w:hAnsi="Arial" w:eastAsia="Arial"/>
          <w:sz w:val="21"/>
        </w:rPr>
        <w:t>В качестве итогового выбран портфель FIRE-A + ENV-A + AGRI-B + TRANS-B: мониторинг лесных пожаров в Сибири, экологический мониторинг Волго-Каспийского региона, аграрная аналитика для Юга и транспортный мониторинг для Центрального территориального архетипа. FIRE и ENV работают в режиме A и образуют два обязательных public core; AGRI и TRANS работают в режиме B, где сохраняется якорная публичная компонента и одновременно выше коммерческий денежный поток.</w:t>
      </w:r>
    </w:p>
    <w:p>
      <w:r>
        <w:rPr>
          <w:rFonts w:ascii="Arial" w:hAnsi="Arial" w:eastAsia="Arial"/>
          <w:sz w:val="21"/>
        </w:rPr>
        <w:t>В базовом сценарии стартовые затраты составляют 1 140 млн руб., ежегодный OPEX — 313 млн руб., модельные денежные поступления — 370,5 млн руб./год, общественная ценность — 1 289 млн руб./год по шкале кейса, K_cash — 1,1837. Портфель проходит все девять формализованных ограничений. В официальном STRESS лимит c0 снижается с 1 300 до 1 180 млн руб.; состав портфеля сохраняется, запас по c0 составляет 40 млн руб.</w:t>
      </w:r>
    </w:p>
    <w:p>
      <w:r>
        <w:rPr>
          <w:rFonts w:ascii="Arial" w:hAnsi="Arial" w:eastAsia="Arial"/>
          <w:sz w:val="21"/>
        </w:rPr>
        <w:t>Выбор сделан не по одному показателю. Команда использует weighted MCDA как инструмент поддержки решения, а не как автоматический выбор портфеля. Ranking строится по всем 143 комбинациям, которые проходят официальный STRESS; min-max нормализация выполняется на том же множестве. При финальных весах FINAL получает score 0,725 и занимает 3-е место из 143, но входит во фронт Парето по общественной ценности, c0 и K_cash. Итоговый выбор является управленческим: режимы B для AGRI и TRANS сохраняют более высокий общественный показатель и более широкий гибридный публично-коммерческий слой по сравнению с математическими лидерами на режимах C.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blHeader w:val="true"/>
          <w:cantSplit/>
        </w:trPr>
        <w:tc>
          <w:tcPr>
            <w:tcW w:type="dxa" w:w="2381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7"/>
              </w:rPr>
              <w:t>Показатель</w:t>
            </w:r>
          </w:p>
        </w:tc>
        <w:tc>
          <w:tcPr>
            <w:tcW w:type="dxa" w:w="2551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7"/>
              </w:rPr>
              <w:t>BASE / факт</w:t>
            </w:r>
          </w:p>
        </w:tc>
        <w:tc>
          <w:tcPr>
            <w:tcW w:type="dxa" w:w="2041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7"/>
              </w:rPr>
              <w:t>Требование</w:t>
            </w:r>
          </w:p>
        </w:tc>
        <w:tc>
          <w:tcPr>
            <w:tcW w:type="dxa" w:w="1587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7"/>
              </w:rPr>
              <w:t>Запас</w:t>
            </w:r>
          </w:p>
        </w:tc>
      </w:tr>
      <w:tr>
        <w:trPr>
          <w:cantSplit/>
        </w:trPr>
        <w:tc>
          <w:tcPr>
            <w:tcW w:type="dxa" w:w="238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c0</w:t>
            </w:r>
          </w:p>
        </w:tc>
        <w:tc>
          <w:tcPr>
            <w:tcW w:type="dxa" w:w="255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1 140 млн руб.</w:t>
            </w:r>
          </w:p>
        </w:tc>
        <w:tc>
          <w:tcPr>
            <w:tcW w:type="dxa" w:w="204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≤ 1 300</w:t>
            </w:r>
          </w:p>
        </w:tc>
        <w:tc>
          <w:tcPr>
            <w:tcW w:type="dxa" w:w="1587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160</w:t>
            </w:r>
          </w:p>
        </w:tc>
      </w:tr>
      <w:tr>
        <w:trPr>
          <w:cantSplit/>
        </w:trPr>
        <w:tc>
          <w:tcPr>
            <w:tcW w:type="dxa" w:w="238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OPEX</w:t>
            </w:r>
          </w:p>
        </w:tc>
        <w:tc>
          <w:tcPr>
            <w:tcW w:type="dxa" w:w="255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313 млн руб./год</w:t>
            </w:r>
          </w:p>
        </w:tc>
        <w:tc>
          <w:tcPr>
            <w:tcW w:type="dxa" w:w="204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≤ 360</w:t>
            </w:r>
          </w:p>
        </w:tc>
        <w:tc>
          <w:tcPr>
            <w:tcW w:type="dxa" w:w="1587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47</w:t>
            </w:r>
          </w:p>
        </w:tc>
      </w:tr>
      <w:tr>
        <w:trPr>
          <w:cantSplit/>
        </w:trPr>
        <w:tc>
          <w:tcPr>
            <w:tcW w:type="dxa" w:w="238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vpub</w:t>
            </w:r>
          </w:p>
        </w:tc>
        <w:tc>
          <w:tcPr>
            <w:tcW w:type="dxa" w:w="255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1 289 млн руб./год</w:t>
            </w:r>
          </w:p>
        </w:tc>
        <w:tc>
          <w:tcPr>
            <w:tcW w:type="dxa" w:w="204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≥ 1 000</w:t>
            </w:r>
          </w:p>
        </w:tc>
        <w:tc>
          <w:tcPr>
            <w:tcW w:type="dxa" w:w="1587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289</w:t>
            </w:r>
          </w:p>
        </w:tc>
      </w:tr>
      <w:tr>
        <w:trPr>
          <w:cantSplit/>
        </w:trPr>
        <w:tc>
          <w:tcPr>
            <w:tcW w:type="dxa" w:w="238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K_cash</w:t>
            </w:r>
          </w:p>
        </w:tc>
        <w:tc>
          <w:tcPr>
            <w:tcW w:type="dxa" w:w="255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1,1837</w:t>
            </w:r>
          </w:p>
        </w:tc>
        <w:tc>
          <w:tcPr>
            <w:tcW w:type="dxa" w:w="204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≥ 0,6</w:t>
            </w:r>
          </w:p>
        </w:tc>
        <w:tc>
          <w:tcPr>
            <w:tcW w:type="dxa" w:w="1587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0,5837</w:t>
            </w:r>
          </w:p>
        </w:tc>
      </w:tr>
      <w:tr>
        <w:trPr>
          <w:cantSplit/>
        </w:trPr>
        <w:tc>
          <w:tcPr>
            <w:tcW w:type="dxa" w:w="238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t_rep</w:t>
            </w:r>
          </w:p>
        </w:tc>
        <w:tc>
          <w:tcPr>
            <w:tcW w:type="dxa" w:w="255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0,73</w:t>
            </w:r>
          </w:p>
        </w:tc>
        <w:tc>
          <w:tcPr>
            <w:tcW w:type="dxa" w:w="204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≥ 0,63</w:t>
            </w:r>
          </w:p>
        </w:tc>
        <w:tc>
          <w:tcPr>
            <w:tcW w:type="dxa" w:w="1587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0,10</w:t>
            </w:r>
          </w:p>
        </w:tc>
      </w:tr>
      <w:tr>
        <w:trPr>
          <w:cantSplit/>
        </w:trPr>
        <w:tc>
          <w:tcPr>
            <w:tcW w:type="dxa" w:w="238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Public core</w:t>
            </w:r>
          </w:p>
        </w:tc>
        <w:tc>
          <w:tcPr>
            <w:tcW w:type="dxa" w:w="255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2</w:t>
            </w:r>
          </w:p>
        </w:tc>
        <w:tc>
          <w:tcPr>
            <w:tcW w:type="dxa" w:w="204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≥ 2</w:t>
            </w:r>
          </w:p>
        </w:tc>
        <w:tc>
          <w:tcPr>
            <w:tcW w:type="dxa" w:w="1587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0</w:t>
            </w:r>
          </w:p>
        </w:tc>
      </w:tr>
    </w:tbl>
    <w:p>
      <w:pPr>
        <w:spacing w:after="0"/>
      </w:pPr>
    </w:p>
    <w:p>
      <w:pPr>
        <w:pStyle w:val="Heading1"/>
      </w:pPr>
      <w:r>
        <w:t>2. Исходная ситуация и потребности пользователей</w:t>
      </w:r>
    </w:p>
    <w:p>
      <w:r>
        <w:rPr>
          <w:rFonts w:ascii="Arial" w:hAnsi="Arial" w:eastAsia="Arial"/>
          <w:sz w:val="21"/>
        </w:rPr>
        <w:t>Исходные материалы кейса задают восемь сервисных лотов, их территориальные архетипы, технологические группы, базовые экономические параметры и режимы доступа A/B/C. Числа синтетические и используются как условия задачи; команда их не заменяет собственными оценками. Собственная работа команды начинается с интерпретации потребности, роли пользователя, схемы доступа, финансирования, рисков и механизма выбора портфеля.</w:t>
      </w:r>
    </w:p>
    <w:p>
      <w:r>
        <w:rPr>
          <w:rFonts w:ascii="Arial" w:hAnsi="Arial" w:eastAsia="Arial"/>
          <w:sz w:val="21"/>
        </w:rPr>
        <w:t>Общая логика выбранных сервисов — раннее получение аналитического сигнала и приоритизация проверки. Сервис не заменяет реагирование, инспекцию, ремонт или решение пользователя. Он сокращает время до управленческого действия и делает распределение ограниченных ресурсов более адресным. Поэтому общественный эффект отделён от денежного потока и не приписывается сервису автоматически.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blHeader w:val="true"/>
          <w:cantSplit/>
        </w:trPr>
        <w:tc>
          <w:tcPr>
            <w:tcW w:type="dxa" w:w="1191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6"/>
              </w:rPr>
              <w:t>Лот</w:t>
            </w:r>
          </w:p>
        </w:tc>
        <w:tc>
          <w:tcPr>
            <w:tcW w:type="dxa" w:w="2891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6"/>
              </w:rPr>
              <w:t>Проблема и пользователь</w:t>
            </w:r>
          </w:p>
        </w:tc>
        <w:tc>
          <w:tcPr>
            <w:tcW w:type="dxa" w:w="2665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6"/>
              </w:rPr>
              <w:t>Действие с помощью сервиса</w:t>
            </w:r>
          </w:p>
        </w:tc>
        <w:tc>
          <w:tcPr>
            <w:tcW w:type="dxa" w:w="2268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6"/>
              </w:rPr>
              <w:t>Проверяемый результат</w:t>
            </w:r>
          </w:p>
        </w:tc>
      </w:tr>
      <w:tr>
        <w:trPr>
          <w:cantSplit/>
        </w:trPr>
        <w:tc>
          <w:tcPr>
            <w:tcW w:type="dxa" w:w="119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FIRE-A</w:t>
            </w:r>
          </w:p>
        </w:tc>
        <w:tc>
          <w:tcPr>
            <w:tcW w:type="dxa" w:w="289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Сибирь: большая территория и риск позднего обнаружения. Лесные и диспетчерские службы, службы ЧС.</w:t>
            </w:r>
          </w:p>
        </w:tc>
        <w:tc>
          <w:tcPr>
            <w:tcW w:type="dxa" w:w="2665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Проверить потенциальный очаг и назначить приоритет реагирования.</w:t>
            </w:r>
          </w:p>
        </w:tc>
        <w:tc>
          <w:tcPr>
            <w:tcW w:type="dxa" w:w="22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Медианное время от сигнала до проверки (журнал сервиса/диспетчерской); доля подтверждённых сигналов (акты проверки).</w:t>
            </w:r>
          </w:p>
        </w:tc>
      </w:tr>
      <w:tr>
        <w:trPr>
          <w:cantSplit/>
        </w:trPr>
        <w:tc>
          <w:tcPr>
            <w:tcW w:type="dxa" w:w="119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ENV-A</w:t>
            </w:r>
          </w:p>
        </w:tc>
        <w:tc>
          <w:tcPr>
            <w:tcW w:type="dxa" w:w="289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Волго-Каспийский регион: большая территория контроля при ограниченном ресурсе инспекций. Природоохранные органы.</w:t>
            </w:r>
          </w:p>
        </w:tc>
        <w:tc>
          <w:tcPr>
            <w:tcW w:type="dxa" w:w="2665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Выделить зону риска и назначить наземную проверку.</w:t>
            </w:r>
          </w:p>
        </w:tc>
        <w:tc>
          <w:tcPr>
            <w:tcW w:type="dxa" w:w="22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Время от аномалии до решения о проверке (журналы сервиса/инспекций); доля подтверждённых сигналов (акты проверок).</w:t>
            </w:r>
          </w:p>
        </w:tc>
      </w:tr>
      <w:tr>
        <w:trPr>
          <w:cantSplit/>
        </w:trPr>
        <w:tc>
          <w:tcPr>
            <w:tcW w:type="dxa" w:w="119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AGRI-B</w:t>
            </w:r>
          </w:p>
        </w:tc>
        <w:tc>
          <w:tcPr>
            <w:tcW w:type="dxa" w:w="289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Юг: неоднородное состояние полей и высокая цена позднего обнаружения отклонений. Хозяйства и органы АПК.</w:t>
            </w:r>
          </w:p>
        </w:tc>
        <w:tc>
          <w:tcPr>
            <w:tcW w:type="dxa" w:w="2665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Выбрать участок для обследования или обработки.</w:t>
            </w:r>
          </w:p>
        </w:tc>
        <w:tc>
          <w:tcPr>
            <w:tcW w:type="dxa" w:w="22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Доля подключённой площади с актуальными данными (реестр участков/каталог наблюдений); активные организации-пользователи (система доступа/договоры).</w:t>
            </w:r>
          </w:p>
        </w:tc>
      </w:tr>
      <w:tr>
        <w:trPr>
          <w:cantSplit/>
        </w:trPr>
        <w:tc>
          <w:tcPr>
            <w:tcW w:type="dxa" w:w="119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TRANS-B</w:t>
            </w:r>
          </w:p>
        </w:tc>
        <w:tc>
          <w:tcPr>
            <w:tcW w:type="dxa" w:w="289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Центр: большое число маршрутов и объектов, разрозненные данные. Транспортные органы и операторы.</w:t>
            </w:r>
          </w:p>
        </w:tc>
        <w:tc>
          <w:tcPr>
            <w:tcW w:type="dxa" w:w="2665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Назначить проверку объекта или изменить план эксплуатации.</w:t>
            </w:r>
          </w:p>
        </w:tc>
        <w:tc>
          <w:tcPr>
            <w:tcW w:type="dxa" w:w="226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Доля подключённых маршрутов и объектов (реестр объектов); время от сигнала до решения оператора (журнал действий).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" w:hAnsi="Arial" w:eastAsia="Arial"/>
                <w:sz w:val="18"/>
              </w:rPr>
              <w:t>Предполагаемые публичные плательщики (МЧС, Минприроды, Минсельхоз, Росавтодор для дорожной части TRANS) являются гипотезами команды и результатом консультации с трекером, а не подтверждёнными заказчиками. В документе они не рассматриваются как заключённые договоры.</w:t>
            </w:r>
          </w:p>
        </w:tc>
      </w:tr>
    </w:tbl>
    <w:p>
      <w:pPr>
        <w:pStyle w:val="Heading1"/>
      </w:pPr>
      <w:r>
        <w:t>3. Экономико-математическая модель</w:t>
      </w:r>
    </w:p>
    <w:p>
      <w:pPr>
        <w:pStyle w:val="Heading2"/>
      </w:pPr>
      <w:r>
        <w:t>3.1. Исходные данные и расчётный контур</w:t>
      </w:r>
    </w:p>
    <w:p>
      <w:pPr/>
      <w:r>
        <w:t>Расчёт использует неизменённые файлы организаторов: data/lots.csv, data/access_modes.csv и config/case_config.json. Единственный источник формул и девяти формальных проверок — src/kosmo, сверенный с case_core.py на всех 5 670 комбинациях; исходные файлы защищены контрольными хэшами. app/backend является тонким слоем и собственных формул не содержит; показатель «операционный баланс» также передаётся из метрики движка, а не пересчитывается на фронтенде. Для многопоточного HTTP-сервера payload строится на копиях записей, чтобы параллельные запросы с разными настройками S2-фильтра не меняли общий кэш. Регрессионный тест закрывает этот сценарий. Отдельный clean-run из свежего клона подтвердил 383 теста (346 движка + 37 app/tests), запуск CLI и сервера, а также совпадение ключевых показателей FINAL между интерфейсом, CLI и results/. Экспорт из CLI и кнопки интерфейса использует одну функцию export_bundle; произвольные комбинации из конструктора выгружаются отдельно и не затирают результаты FINAL. Интерфейс показывает лимит c0 активного сценария, все девять ограничений с фактом, порогом и запасом, а исследовательский robustness-скрипт использует тот же kosmo-backed расчётный контур.</w:t>
      </w:r>
      <w:r>
        <w:t xml:space="preserve"> Дополнительно интерфейс проверен на адаптивность на ширинах 1440, 1024, 768 и 400 px: на всех 15 вкладках отсутствует горизонтальная прокрутка страницы; широкие таблицы прокручиваются внутри карточек. Десктопные контрольные скриншоты при этом не изменились.</w:t>
      </w:r>
    </w:p>
    <w:p>
      <w:r>
        <w:rPr>
          <w:rFonts w:ascii="Arial" w:hAnsi="Arial" w:eastAsia="Arial"/>
          <w:sz w:val="21"/>
        </w:rPr>
        <w:t>По каждому выбранному лоту базовые параметры умножаются на коэффициенты выбранного режима. Итоговые денежные поступления складываются из якорной и коммерческой компонент. Формулы: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6"/>
      </w:tblGrid>
      <w:tr>
        <w:tc>
          <w:tcPr>
            <w:tcW w:type="dxa" w:w="10086"/>
            <w:shd w:fill="F2F2F2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r>
              <w:rPr>
                <w:rFonts w:ascii="Arial" w:hAnsi="Arial" w:eastAsia="Arial"/>
                <w:sz w:val="18"/>
              </w:rPr>
              <w:t>c0 = c0_base × k_c0</w:t>
              <w:br/>
              <w:t>OPEX = OPEX_base × k_opex</w:t>
              <w:br/>
              <w:t>vpub = vpub_base × k_vpub</w:t>
              <w:br/>
              <w:t>cash = anchor_cash_base × k_anchor + commercial_cash_base × k_commercial</w:t>
              <w:br/>
              <w:t>opex_gap = OPEX − cash</w:t>
              <w:br/>
              <w:t>K_cash = cash_portfolio / OPEX_portfolio</w:t>
            </w:r>
          </w:p>
        </w:tc>
      </w:tr>
    </w:tbl>
    <w:p>
      <w:r>
        <w:rPr>
          <w:rFonts w:ascii="Arial" w:hAnsi="Arial" w:eastAsia="Arial"/>
          <w:sz w:val="21"/>
        </w:rPr>
        <w:t>Для портфеля c0, OPEX, vpub и cash суммируются. t_rep, readiness, resilience и scale рассчитываются как средние по четырём лотам. Отдельно считаются число территориальных архетипов среди нефедеральных лотов, число технологических групп и число лотов с public_core=true.</w:t>
      </w:r>
    </w:p>
    <w:p>
      <w:pPr>
        <w:pStyle w:val="Heading2"/>
      </w:pPr>
      <w:r>
        <w:t>3.2. Ограничения кейса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rPr>
          <w:tblHeader w:val="true"/>
          <w:cantSplit/>
        </w:trPr>
        <w:tc>
          <w:tcPr>
            <w:tcW w:type="dxa" w:w="3402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7"/>
              </w:rPr>
              <w:t>Ограничение</w:t>
            </w:r>
          </w:p>
        </w:tc>
        <w:tc>
          <w:tcPr>
            <w:tcW w:type="dxa" w:w="5386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7"/>
              </w:rPr>
              <w:t>Условие</w:t>
            </w:r>
          </w:p>
        </w:tc>
      </w:tr>
      <w:tr>
        <w:trPr>
          <w:cantSplit/>
        </w:trPr>
        <w:tc>
          <w:tcPr>
            <w:tcW w:type="dxa" w:w="340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Состав</w:t>
            </w:r>
          </w:p>
        </w:tc>
        <w:tc>
          <w:tcPr>
            <w:tcW w:type="dxa" w:w="538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ровно 4 уникальных лота</w:t>
            </w:r>
          </w:p>
        </w:tc>
      </w:tr>
      <w:tr>
        <w:trPr>
          <w:cantSplit/>
        </w:trPr>
        <w:tc>
          <w:tcPr>
            <w:tcW w:type="dxa" w:w="340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Территории</w:t>
            </w:r>
          </w:p>
        </w:tc>
        <w:tc>
          <w:tcPr>
            <w:tcW w:type="dxa" w:w="538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не менее 3 территориальных архетипов</w:t>
            </w:r>
          </w:p>
        </w:tc>
      </w:tr>
      <w:tr>
        <w:trPr>
          <w:cantSplit/>
        </w:trPr>
        <w:tc>
          <w:tcPr>
            <w:tcW w:type="dxa" w:w="340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Технологические группы</w:t>
            </w:r>
          </w:p>
        </w:tc>
        <w:tc>
          <w:tcPr>
            <w:tcW w:type="dxa" w:w="538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не менее 2</w:t>
            </w:r>
          </w:p>
        </w:tc>
      </w:tr>
      <w:tr>
        <w:trPr>
          <w:cantSplit/>
        </w:trPr>
        <w:tc>
          <w:tcPr>
            <w:tcW w:type="dxa" w:w="340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Public core</w:t>
            </w:r>
          </w:p>
        </w:tc>
        <w:tc>
          <w:tcPr>
            <w:tcW w:type="dxa" w:w="538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не менее 2 лотов</w:t>
            </w:r>
          </w:p>
        </w:tc>
      </w:tr>
      <w:tr>
        <w:trPr>
          <w:cantSplit/>
        </w:trPr>
        <w:tc>
          <w:tcPr>
            <w:tcW w:type="dxa" w:w="340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c0 BASE</w:t>
            </w:r>
          </w:p>
        </w:tc>
        <w:tc>
          <w:tcPr>
            <w:tcW w:type="dxa" w:w="538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не более 1 300 млн руб.</w:t>
            </w:r>
          </w:p>
        </w:tc>
      </w:tr>
      <w:tr>
        <w:trPr>
          <w:cantSplit/>
        </w:trPr>
        <w:tc>
          <w:tcPr>
            <w:tcW w:type="dxa" w:w="340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c0 STRESS</w:t>
            </w:r>
          </w:p>
        </w:tc>
        <w:tc>
          <w:tcPr>
            <w:tcW w:type="dxa" w:w="538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не более 1 180 млн руб.</w:t>
            </w:r>
          </w:p>
        </w:tc>
      </w:tr>
      <w:tr>
        <w:trPr>
          <w:cantSplit/>
        </w:trPr>
        <w:tc>
          <w:tcPr>
            <w:tcW w:type="dxa" w:w="340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OPEX</w:t>
            </w:r>
          </w:p>
        </w:tc>
        <w:tc>
          <w:tcPr>
            <w:tcW w:type="dxa" w:w="538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не более 360 млн руб./год</w:t>
            </w:r>
          </w:p>
        </w:tc>
      </w:tr>
      <w:tr>
        <w:trPr>
          <w:cantSplit/>
        </w:trPr>
        <w:tc>
          <w:tcPr>
            <w:tcW w:type="dxa" w:w="340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vpub</w:t>
            </w:r>
          </w:p>
        </w:tc>
        <w:tc>
          <w:tcPr>
            <w:tcW w:type="dxa" w:w="538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не менее 1 000 млн руб./год</w:t>
            </w:r>
          </w:p>
        </w:tc>
      </w:tr>
      <w:tr>
        <w:trPr>
          <w:cantSplit/>
        </w:trPr>
        <w:tc>
          <w:tcPr>
            <w:tcW w:type="dxa" w:w="340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K_cash</w:t>
            </w:r>
          </w:p>
        </w:tc>
        <w:tc>
          <w:tcPr>
            <w:tcW w:type="dxa" w:w="538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не менее 0,6</w:t>
            </w:r>
          </w:p>
        </w:tc>
      </w:tr>
      <w:tr>
        <w:trPr>
          <w:cantSplit/>
        </w:trPr>
        <w:tc>
          <w:tcPr>
            <w:tcW w:type="dxa" w:w="340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t_rep</w:t>
            </w:r>
          </w:p>
        </w:tc>
        <w:tc>
          <w:tcPr>
            <w:tcW w:type="dxa" w:w="5386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7"/>
              </w:rPr>
              <w:t>не менее 0,63</w:t>
            </w:r>
          </w:p>
        </w:tc>
      </w:tr>
    </w:tbl>
    <w:p>
      <w:pPr>
        <w:spacing w:after="0"/>
      </w:pPr>
    </w:p>
    <w:p>
      <w:pPr>
        <w:pStyle w:val="Heading2"/>
      </w:pPr>
      <w:r>
        <w:t>3.3. Модель выбора</w:t>
      </w:r>
    </w:p>
    <w:p>
      <w:r>
        <w:rPr>
          <w:rFonts w:ascii="Arial" w:hAnsi="Arial" w:eastAsia="Arial"/>
          <w:sz w:val="21"/>
        </w:rPr>
        <w:t>После проверки формальных ограничений команда сравнивает все 143 STRESS-допустимые комбинации методом weighted sum с min-max нормализацией. Вес общественной ценности равен 0,30; c0 и K_cash — по 0,15; readiness, resilience, scale и запас по c0 в STRESS — по 0,10. Для критерия «больше — лучше» используется z = (x − min)/(max − min), для «меньше — лучше» — z = 1 − (x − min)/(max − min); итоговый score — взвешенная сумма нормированных критериев.</w:t>
      </w:r>
    </w:p>
    <w:p>
      <w:pPr/>
      <w:r>
        <w:rPr>
          <w:rFonts w:ascii="Arial" w:hAnsi="Arial" w:eastAsia="Arial"/>
          <w:sz w:val="21"/>
        </w:rPr>
        <w:t>MCDA используется как советник: она показывает положение допустимых портфелей и цену компромиссов, но не заменяет управленческое решение. FINAL не объявляется математическим top-1. При финальных весах он получает score 0,725 и занимает 3-е место из 143. При изменении каждого веса по отдельности на ±20% FINAL занимает места 2–5 и ни в одном таком прогоне не становится первым. В 3 000 случайных векторах весов (seed=1) FINAL занимает первое место в 8,4% случаев, медианное место — 14, в топ-3 он входит в 13% случаев. Дополнительный сценарий S2 «commercial cash = 0» используется только как анализ чувствительности команды, а не как официальный фильтр или условие организаторов.</w:t>
      </w:r>
    </w:p>
    <w:p>
      <w:pPr>
        <w:pStyle w:val="Heading2"/>
      </w:pPr>
      <w:r>
        <w:t>3.4. Что модель не учитывает</w:t>
      </w:r>
    </w:p>
    <w:p>
      <w:r>
        <w:rPr>
          <w:rFonts w:ascii="Arial" w:hAnsi="Arial" w:eastAsia="Arial"/>
          <w:sz w:val="21"/>
        </w:rPr>
        <w:t>Канонический движок не считает дисконтирование, NPV/IRR, налоги, стоимость капитала, помесячную ликвидность, вероятностный спрос, SLA, стоимость смены поставщика и многолетний горизонт. Эти вопросы вынесены в отдельные допущения команды. Эксплуатационная архитектура с REST API, журналом доступа, историей событий, source_updated_at, confidence и контрольным набором поставщика описана как целевая, но не реализована в расчётном движке.</w:t>
      </w:r>
    </w:p>
    <w:p>
      <w:pPr>
        <w:pStyle w:val="Heading1"/>
      </w:pPr>
      <w:r>
        <w:t>4. Сравнение альтернатив и выбор портфеля</w:t>
      </w:r>
    </w:p>
    <w:p>
      <w:r>
        <w:rPr>
          <w:rFonts w:ascii="Arial" w:hAnsi="Arial" w:eastAsia="Arial"/>
          <w:sz w:val="21"/>
        </w:rPr>
        <w:t>Для содержательного сравнения команда сохраняет управленческий shortlist FINAL, V1–V8, однако место и score определяются по полному множеству 143 STRESS-допустимых комбинаций. Математические лидеры V7 и V8 добавлены в сравнение отдельно, чтобы не скрывать варианты, которые модель оценивает выше FINAL. V3 проходит BASE, но нарушает официальный STRESS и поэтому не получает места в STRESS-ranking.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1"/>
        <w:gridCol w:w="1261"/>
        <w:gridCol w:w="1261"/>
        <w:gridCol w:w="1261"/>
        <w:gridCol w:w="1261"/>
        <w:gridCol w:w="1261"/>
        <w:gridCol w:w="1261"/>
        <w:gridCol w:w="1261"/>
      </w:tblGrid>
      <w:tr>
        <w:trPr>
          <w:tblHeader w:val="true"/>
          <w:cantSplit/>
        </w:trPr>
        <w:tc>
          <w:tcPr>
            <w:tcW w:type="dxa" w:w="794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4"/>
              </w:rPr>
              <w:t>Вариант</w:t>
            </w:r>
          </w:p>
        </w:tc>
        <w:tc>
          <w:tcPr>
            <w:tcW w:type="dxa" w:w="3005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4"/>
              </w:rPr>
              <w:t>Состав</w:t>
            </w:r>
          </w:p>
        </w:tc>
        <w:tc>
          <w:tcPr>
            <w:tcW w:type="dxa" w:w="907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4"/>
              </w:rPr>
              <w:t>vpub</w:t>
            </w:r>
          </w:p>
        </w:tc>
        <w:tc>
          <w:tcPr>
            <w:tcW w:type="dxa" w:w="964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4"/>
              </w:rPr>
              <w:t>c0</w:t>
            </w:r>
          </w:p>
        </w:tc>
        <w:tc>
          <w:tcPr>
            <w:tcW w:type="dxa" w:w="850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4"/>
              </w:rPr>
              <w:t>K_cash</w:t>
            </w:r>
          </w:p>
        </w:tc>
        <w:tc>
          <w:tcPr>
            <w:tcW w:type="dxa" w:w="1077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4"/>
              </w:rPr>
              <w:t>Запас STRESS</w:t>
            </w:r>
          </w:p>
        </w:tc>
        <w:tc>
          <w:tcPr>
            <w:tcW w:type="dxa" w:w="850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Score / место</w:t>
            </w:r>
          </w:p>
        </w:tc>
        <w:tc>
          <w:tcPr>
            <w:tcW w:type="dxa" w:w="737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4"/>
              </w:rPr>
              <w:t>STRESS</w:t>
            </w:r>
          </w:p>
        </w:tc>
      </w:tr>
      <w:tr>
        <w:trPr>
          <w:cantSplit/>
        </w:trPr>
        <w:tc>
          <w:tcPr>
            <w:tcW w:type="dxa" w:w="1261"/>
          </w:tcPr>
          <w:p>
            <w:r>
              <w:t>V7</w:t>
            </w:r>
          </w:p>
        </w:tc>
        <w:tc>
          <w:tcPr>
            <w:tcW w:type="dxa" w:w="1261"/>
          </w:tcPr>
          <w:p>
            <w:r>
              <w:t>FIRE-A, AGRI-C, TRANS-C, ENV-A</w:t>
            </w:r>
          </w:p>
        </w:tc>
        <w:tc>
          <w:tcPr>
            <w:tcW w:type="dxa" w:w="1261"/>
          </w:tcPr>
          <w:p>
            <w:r>
              <w:t>1 199,0</w:t>
            </w:r>
          </w:p>
        </w:tc>
        <w:tc>
          <w:tcPr>
            <w:tcW w:type="dxa" w:w="1261"/>
          </w:tcPr>
          <w:p>
            <w:r>
              <w:t>1 129,8</w:t>
            </w:r>
          </w:p>
        </w:tc>
        <w:tc>
          <w:tcPr>
            <w:tcW w:type="dxa" w:w="1261"/>
          </w:tcPr>
          <w:p>
            <w:r>
              <w:t>1,302</w:t>
            </w:r>
          </w:p>
        </w:tc>
        <w:tc>
          <w:tcPr>
            <w:tcW w:type="dxa" w:w="1261"/>
          </w:tcPr>
          <w:p>
            <w:r>
              <w:t>+50,2</w:t>
            </w:r>
          </w:p>
        </w:tc>
        <w:tc>
          <w:tcPr>
            <w:tcW w:type="dxa" w:w="1261"/>
          </w:tcPr>
          <w:p>
            <w:r>
              <w:t>0,737 / 1</w:t>
            </w:r>
          </w:p>
        </w:tc>
        <w:tc>
          <w:tcPr>
            <w:tcW w:type="dxa" w:w="1261"/>
          </w:tcPr>
          <w:p>
            <w:r>
              <w:t>PASS</w:t>
            </w:r>
          </w:p>
        </w:tc>
      </w:tr>
      <w:tr>
        <w:trPr>
          <w:cantSplit/>
        </w:trPr>
        <w:tc>
          <w:tcPr>
            <w:tcW w:type="dxa" w:w="1261"/>
          </w:tcPr>
          <w:p>
            <w:r>
              <w:t>V8</w:t>
            </w:r>
          </w:p>
        </w:tc>
        <w:tc>
          <w:tcPr>
            <w:tcW w:type="dxa" w:w="1261"/>
          </w:tcPr>
          <w:p>
            <w:r>
              <w:t>FIRE-A, AGRI-C, TRANS-B, ENV-A</w:t>
            </w:r>
          </w:p>
        </w:tc>
        <w:tc>
          <w:tcPr>
            <w:tcW w:type="dxa" w:w="1261"/>
          </w:tcPr>
          <w:p>
            <w:r>
              <w:t>1 243,0</w:t>
            </w:r>
          </w:p>
        </w:tc>
        <w:tc>
          <w:tcPr>
            <w:tcW w:type="dxa" w:w="1261"/>
          </w:tcPr>
          <w:p>
            <w:r>
              <w:t>1 134,8</w:t>
            </w:r>
          </w:p>
        </w:tc>
        <w:tc>
          <w:tcPr>
            <w:tcW w:type="dxa" w:w="1261"/>
          </w:tcPr>
          <w:p>
            <w:r>
              <w:t>1,261</w:t>
            </w:r>
          </w:p>
        </w:tc>
        <w:tc>
          <w:tcPr>
            <w:tcW w:type="dxa" w:w="1261"/>
          </w:tcPr>
          <w:p>
            <w:r>
              <w:t>+45,2</w:t>
            </w:r>
          </w:p>
        </w:tc>
        <w:tc>
          <w:tcPr>
            <w:tcW w:type="dxa" w:w="1261"/>
          </w:tcPr>
          <w:p>
            <w:r>
              <w:t>0,737 / 2</w:t>
            </w:r>
          </w:p>
        </w:tc>
        <w:tc>
          <w:tcPr>
            <w:tcW w:type="dxa" w:w="1261"/>
          </w:tcPr>
          <w:p>
            <w:r>
              <w:t>PASS</w:t>
            </w:r>
          </w:p>
        </w:tc>
      </w:tr>
      <w:tr>
        <w:trPr>
          <w:cantSplit/>
        </w:trPr>
        <w:tc>
          <w:tcPr>
            <w:tcW w:type="dxa" w:w="1261"/>
          </w:tcPr>
          <w:p>
            <w:r>
              <w:t>FINAL</w:t>
            </w:r>
          </w:p>
        </w:tc>
        <w:tc>
          <w:tcPr>
            <w:tcW w:type="dxa" w:w="1261"/>
          </w:tcPr>
          <w:p>
            <w:r>
              <w:t>FIRE-A, ENV-A, AGRI-B, TRANS-B</w:t>
            </w:r>
          </w:p>
        </w:tc>
        <w:tc>
          <w:tcPr>
            <w:tcW w:type="dxa" w:w="1261"/>
          </w:tcPr>
          <w:p>
            <w:r>
              <w:t>1 289,0</w:t>
            </w:r>
          </w:p>
        </w:tc>
        <w:tc>
          <w:tcPr>
            <w:tcW w:type="dxa" w:w="1261"/>
          </w:tcPr>
          <w:p>
            <w:r>
              <w:t>1 140,0</w:t>
            </w:r>
          </w:p>
        </w:tc>
        <w:tc>
          <w:tcPr>
            <w:tcW w:type="dxa" w:w="1261"/>
          </w:tcPr>
          <w:p>
            <w:r>
              <w:t>1,184</w:t>
            </w:r>
          </w:p>
        </w:tc>
        <w:tc>
          <w:tcPr>
            <w:tcW w:type="dxa" w:w="1261"/>
          </w:tcPr>
          <w:p>
            <w:r>
              <w:t>+40,0</w:t>
            </w:r>
          </w:p>
        </w:tc>
        <w:tc>
          <w:tcPr>
            <w:tcW w:type="dxa" w:w="1261"/>
          </w:tcPr>
          <w:p>
            <w:r>
              <w:t>0,725 / 3</w:t>
            </w:r>
          </w:p>
        </w:tc>
        <w:tc>
          <w:tcPr>
            <w:tcW w:type="dxa" w:w="1261"/>
          </w:tcPr>
          <w:p>
            <w:r>
              <w:t>PASS</w:t>
            </w:r>
          </w:p>
        </w:tc>
      </w:tr>
      <w:tr>
        <w:trPr>
          <w:cantSplit/>
        </w:trPr>
        <w:tc>
          <w:tcPr>
            <w:tcW w:type="dxa" w:w="1261"/>
          </w:tcPr>
          <w:p>
            <w:r>
              <w:t>V1</w:t>
            </w:r>
          </w:p>
        </w:tc>
        <w:tc>
          <w:tcPr>
            <w:tcW w:type="dxa" w:w="1261"/>
          </w:tcPr>
          <w:p>
            <w:r>
              <w:t>FIRE-A, AGRI-A, TRANS-A, ENV-A</w:t>
            </w:r>
          </w:p>
        </w:tc>
        <w:tc>
          <w:tcPr>
            <w:tcW w:type="dxa" w:w="1261"/>
          </w:tcPr>
          <w:p>
            <w:r>
              <w:t>1 370,0</w:t>
            </w:r>
          </w:p>
        </w:tc>
        <w:tc>
          <w:tcPr>
            <w:tcW w:type="dxa" w:w="1261"/>
          </w:tcPr>
          <w:p>
            <w:r>
              <w:t>1 165,5</w:t>
            </w:r>
          </w:p>
        </w:tc>
        <w:tc>
          <w:tcPr>
            <w:tcW w:type="dxa" w:w="1261"/>
          </w:tcPr>
          <w:p>
            <w:r>
              <w:t>0,902</w:t>
            </w:r>
          </w:p>
        </w:tc>
        <w:tc>
          <w:tcPr>
            <w:tcW w:type="dxa" w:w="1261"/>
          </w:tcPr>
          <w:p>
            <w:r>
              <w:t>+14,5</w:t>
            </w:r>
          </w:p>
        </w:tc>
        <w:tc>
          <w:tcPr>
            <w:tcW w:type="dxa" w:w="1261"/>
          </w:tcPr>
          <w:p>
            <w:r>
              <w:t>0,583 / 37</w:t>
            </w:r>
          </w:p>
        </w:tc>
        <w:tc>
          <w:tcPr>
            <w:tcW w:type="dxa" w:w="1261"/>
          </w:tcPr>
          <w:p>
            <w:r>
              <w:t>PASS</w:t>
            </w:r>
          </w:p>
        </w:tc>
      </w:tr>
      <w:tr>
        <w:trPr>
          <w:cantSplit/>
        </w:trPr>
        <w:tc>
          <w:tcPr>
            <w:tcW w:type="dxa" w:w="1261"/>
          </w:tcPr>
          <w:p>
            <w:r>
              <w:t>V2</w:t>
            </w:r>
          </w:p>
        </w:tc>
        <w:tc>
          <w:tcPr>
            <w:tcW w:type="dxa" w:w="1261"/>
          </w:tcPr>
          <w:p>
            <w:r>
              <w:t>FLOOD-A, AGRI-A, TRANS-B, ENV-A</w:t>
            </w:r>
          </w:p>
        </w:tc>
        <w:tc>
          <w:tcPr>
            <w:tcW w:type="dxa" w:w="1261"/>
          </w:tcPr>
          <w:p>
            <w:r>
              <w:t>1 370,4</w:t>
            </w:r>
          </w:p>
        </w:tc>
        <w:tc>
          <w:tcPr>
            <w:tcW w:type="dxa" w:w="1261"/>
          </w:tcPr>
          <w:p>
            <w:r>
              <w:t>1 174,0</w:t>
            </w:r>
          </w:p>
        </w:tc>
        <w:tc>
          <w:tcPr>
            <w:tcW w:type="dxa" w:w="1261"/>
          </w:tcPr>
          <w:p>
            <w:r>
              <w:t>1,040</w:t>
            </w:r>
          </w:p>
        </w:tc>
        <w:tc>
          <w:tcPr>
            <w:tcW w:type="dxa" w:w="1261"/>
          </w:tcPr>
          <w:p>
            <w:r>
              <w:t>+6,0</w:t>
            </w:r>
          </w:p>
        </w:tc>
        <w:tc>
          <w:tcPr>
            <w:tcW w:type="dxa" w:w="1261"/>
          </w:tcPr>
          <w:p>
            <w:r>
              <w:t>0,555 / 51</w:t>
            </w:r>
          </w:p>
        </w:tc>
        <w:tc>
          <w:tcPr>
            <w:tcW w:type="dxa" w:w="1261"/>
          </w:tcPr>
          <w:p>
            <w:r>
              <w:t>PASS</w:t>
            </w:r>
          </w:p>
        </w:tc>
      </w:tr>
      <w:tr>
        <w:trPr>
          <w:cantSplit/>
        </w:trPr>
        <w:tc>
          <w:tcPr>
            <w:tcW w:type="dxa" w:w="1261"/>
          </w:tcPr>
          <w:p>
            <w:r>
              <w:t>V5</w:t>
            </w:r>
          </w:p>
        </w:tc>
        <w:tc>
          <w:tcPr>
            <w:tcW w:type="dxa" w:w="1261"/>
          </w:tcPr>
          <w:p>
            <w:r>
              <w:t>FIRE-A, AGRI-B, INFRA-A, TRANS-B</w:t>
            </w:r>
          </w:p>
        </w:tc>
        <w:tc>
          <w:tcPr>
            <w:tcW w:type="dxa" w:w="1261"/>
          </w:tcPr>
          <w:p>
            <w:r>
              <w:t>1 229,0</w:t>
            </w:r>
          </w:p>
        </w:tc>
        <w:tc>
          <w:tcPr>
            <w:tcW w:type="dxa" w:w="1261"/>
          </w:tcPr>
          <w:p>
            <w:r>
              <w:t>1 171,5</w:t>
            </w:r>
          </w:p>
        </w:tc>
        <w:tc>
          <w:tcPr>
            <w:tcW w:type="dxa" w:w="1261"/>
          </w:tcPr>
          <w:p>
            <w:r>
              <w:t>1,180</w:t>
            </w:r>
          </w:p>
        </w:tc>
        <w:tc>
          <w:tcPr>
            <w:tcW w:type="dxa" w:w="1261"/>
          </w:tcPr>
          <w:p>
            <w:r>
              <w:t>+8,5</w:t>
            </w:r>
          </w:p>
        </w:tc>
        <w:tc>
          <w:tcPr>
            <w:tcW w:type="dxa" w:w="1261"/>
          </w:tcPr>
          <w:p>
            <w:r>
              <w:t>0,473 / 77</w:t>
            </w:r>
          </w:p>
        </w:tc>
        <w:tc>
          <w:tcPr>
            <w:tcW w:type="dxa" w:w="1261"/>
          </w:tcPr>
          <w:p>
            <w:r>
              <w:t>PASS</w:t>
            </w:r>
          </w:p>
        </w:tc>
      </w:tr>
      <w:tr>
        <w:trPr>
          <w:cantSplit/>
        </w:trPr>
        <w:tc>
          <w:tcPr>
            <w:tcW w:type="dxa" w:w="1261"/>
          </w:tcPr>
          <w:p>
            <w:r>
              <w:t>V6</w:t>
            </w:r>
          </w:p>
        </w:tc>
        <w:tc>
          <w:tcPr>
            <w:tcW w:type="dxa" w:w="1261"/>
          </w:tcPr>
          <w:p>
            <w:r>
              <w:t>AGRI-A, INFRA-A, TRANS-A, ENV-A</w:t>
            </w:r>
          </w:p>
        </w:tc>
        <w:tc>
          <w:tcPr>
            <w:tcW w:type="dxa" w:w="1261"/>
          </w:tcPr>
          <w:p>
            <w:r>
              <w:t>1 110,0</w:t>
            </w:r>
          </w:p>
        </w:tc>
        <w:tc>
          <w:tcPr>
            <w:tcW w:type="dxa" w:w="1261"/>
          </w:tcPr>
          <w:p>
            <w:r>
              <w:t>1 155,0</w:t>
            </w:r>
          </w:p>
        </w:tc>
        <w:tc>
          <w:tcPr>
            <w:tcW w:type="dxa" w:w="1261"/>
          </w:tcPr>
          <w:p>
            <w:r>
              <w:t>0,909</w:t>
            </w:r>
          </w:p>
        </w:tc>
        <w:tc>
          <w:tcPr>
            <w:tcW w:type="dxa" w:w="1261"/>
          </w:tcPr>
          <w:p>
            <w:r>
              <w:t>+25,0</w:t>
            </w:r>
          </w:p>
        </w:tc>
        <w:tc>
          <w:tcPr>
            <w:tcW w:type="dxa" w:w="1261"/>
          </w:tcPr>
          <w:p>
            <w:r>
              <w:t>0,436 / 90</w:t>
            </w:r>
          </w:p>
        </w:tc>
        <w:tc>
          <w:tcPr>
            <w:tcW w:type="dxa" w:w="1261"/>
          </w:tcPr>
          <w:p>
            <w:r>
              <w:t>PASS</w:t>
            </w:r>
          </w:p>
        </w:tc>
      </w:tr>
      <w:tr>
        <w:trPr>
          <w:cantSplit/>
        </w:trPr>
        <w:tc>
          <w:tcPr>
            <w:tcW w:type="dxa" w:w="1261"/>
          </w:tcPr>
          <w:p>
            <w:r>
              <w:t>V4</w:t>
            </w:r>
          </w:p>
        </w:tc>
        <w:tc>
          <w:tcPr>
            <w:tcW w:type="dxa" w:w="1261"/>
          </w:tcPr>
          <w:p>
            <w:r>
              <w:t>AGRI-A, TRANS-A, ENV-A, SSA-A</w:t>
            </w:r>
          </w:p>
        </w:tc>
        <w:tc>
          <w:tcPr>
            <w:tcW w:type="dxa" w:w="1261"/>
          </w:tcPr>
          <w:p>
            <w:r>
              <w:t>1 150,0</w:t>
            </w:r>
          </w:p>
        </w:tc>
        <w:tc>
          <w:tcPr>
            <w:tcW w:type="dxa" w:w="1261"/>
          </w:tcPr>
          <w:p>
            <w:r>
              <w:t>1 176,0</w:t>
            </w:r>
          </w:p>
        </w:tc>
        <w:tc>
          <w:tcPr>
            <w:tcW w:type="dxa" w:w="1261"/>
          </w:tcPr>
          <w:p>
            <w:r>
              <w:t>0,892</w:t>
            </w:r>
          </w:p>
        </w:tc>
        <w:tc>
          <w:tcPr>
            <w:tcW w:type="dxa" w:w="1261"/>
          </w:tcPr>
          <w:p>
            <w:r>
              <w:t>+4,0</w:t>
            </w:r>
          </w:p>
        </w:tc>
        <w:tc>
          <w:tcPr>
            <w:tcW w:type="dxa" w:w="1261"/>
          </w:tcPr>
          <w:p>
            <w:r>
              <w:t>0,294 / 131</w:t>
            </w:r>
          </w:p>
        </w:tc>
        <w:tc>
          <w:tcPr>
            <w:tcW w:type="dxa" w:w="1261"/>
          </w:tcPr>
          <w:p>
            <w:r>
              <w:t>PASS</w:t>
            </w:r>
          </w:p>
        </w:tc>
      </w:tr>
      <w:tr>
        <w:trPr>
          <w:cantSplit/>
        </w:trPr>
        <w:tc>
          <w:tcPr>
            <w:tcW w:type="dxa" w:w="1261"/>
          </w:tcPr>
          <w:p>
            <w:r>
              <w:t>V3</w:t>
            </w:r>
          </w:p>
        </w:tc>
        <w:tc>
          <w:tcPr>
            <w:tcW w:type="dxa" w:w="1261"/>
          </w:tcPr>
          <w:p>
            <w:r>
              <w:t>FIRE-A, FLOOD-A, TRANS-A, ENV-A</w:t>
            </w:r>
          </w:p>
        </w:tc>
        <w:tc>
          <w:tcPr>
            <w:tcW w:type="dxa" w:w="1261"/>
          </w:tcPr>
          <w:p>
            <w:r>
              <w:t>1 740,0</w:t>
            </w:r>
          </w:p>
        </w:tc>
        <w:tc>
          <w:tcPr>
            <w:tcW w:type="dxa" w:w="1261"/>
          </w:tcPr>
          <w:p>
            <w:r>
              <w:t>1 249,5</w:t>
            </w:r>
          </w:p>
        </w:tc>
        <w:tc>
          <w:tcPr>
            <w:tcW w:type="dxa" w:w="1261"/>
          </w:tcPr>
          <w:p>
            <w:r>
              <w:t>0,967</w:t>
            </w:r>
          </w:p>
        </w:tc>
        <w:tc>
          <w:tcPr>
            <w:tcW w:type="dxa" w:w="1261"/>
          </w:tcPr>
          <w:p>
            <w:r>
              <w:t>−69,5</w:t>
            </w:r>
          </w:p>
        </w:tc>
        <w:tc>
          <w:tcPr>
            <w:tcW w:type="dxa" w:w="1261"/>
          </w:tcPr>
          <w:p>
            <w:r>
              <w:t>без места</w:t>
            </w:r>
          </w:p>
        </w:tc>
        <w:tc>
          <w:tcPr>
            <w:tcW w:type="dxa" w:w="1261"/>
          </w:tcPr>
          <w:p>
            <w:r>
              <w:t>FAIL</w:t>
            </w:r>
          </w:p>
        </w:tc>
      </w:tr>
    </w:tbl>
    <w:p>
      <w:pPr>
        <w:spacing w:after="0"/>
      </w:pPr>
    </w:p>
    <w:p>
      <w:r>
        <w:rPr>
          <w:rFonts w:ascii="Arial" w:hAnsi="Arial" w:eastAsia="Arial"/>
          <w:sz w:val="21"/>
        </w:rPr>
        <w:t>Математический лидер V7 (FIRE-A + AGRI-C + TRANS-C + ENV-A) имеет score около 0,737, более низкие c0 и OPEX и более высокий cash, но режимы C уменьшают общественную ценность и якорную компоненту AGRI/TRANS. По сравнению с V7 FINAL требует на 10,2 млн руб. больше c0 и на 7,25 млн руб./год больше OPEX, даёт на 27,5 млн руб./год меньше cash и уменьшает запас STRESS на 10,2 млн руб., но повышает vpub на 90 млн руб./год. V8 является промежуточным компромиссом и также стоит выше FINAL по MCDA, но оставляет AGRI в режиме C.</w:t>
      </w:r>
    </w:p>
    <w:p>
      <w:r>
        <w:rPr>
          <w:rFonts w:ascii="Arial" w:hAnsi="Arial" w:eastAsia="Arial"/>
          <w:sz w:val="21"/>
        </w:rPr>
        <w:t>FINAL выбран как Парето-эффективный управленческий компромисс: режимы B для AGRI/TRANS дают больше общественной ценности, чем C, при положительном операционном балансе +57,5 млн руб./год и запасе STRESS 40 млн руб.; V3 не проходит STRESS.</w:t>
      </w:r>
    </w:p>
    <w:p>
      <w:pPr/>
      <w:r>
        <w:t>Аргументация выбора предъявляется в интерфейсе как проверяемая цепочка, а не только как текст записки. Экран «Почему FINAL» показывает, что FINAL — управленческий выбор и 3-е место из 143, не скрывает более высокие по MCDA V7/V8, показывает сравнение выигрышей и потерь и раскладывает score по критериям. Конструктор позволяет собрать произвольный портфель из четырёх уникальных лотов и режимов и пересчитать его через серверный слой на том же движке; вкладка ограничений выводит условие, требование, факт, запас и явную причину FAIL для BASE и STRESS. Сценарий S2 отображается отдельно и подписан как командная диагностика, а не официальный STRESS.</w:t>
      </w:r>
    </w:p>
    <w:p>
      <w:pPr>
        <w:pStyle w:val="Heading1"/>
      </w:pPr>
      <w:r>
        <w:t>5. Базовый сценарий и экономика выбранного портфеля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121"/>
        <w:gridCol w:w="1121"/>
        <w:gridCol w:w="1121"/>
        <w:gridCol w:w="1121"/>
        <w:gridCol w:w="1121"/>
        <w:gridCol w:w="1121"/>
        <w:gridCol w:w="1121"/>
        <w:gridCol w:w="1121"/>
        <w:gridCol w:w="1121"/>
      </w:tblGrid>
      <w:tr>
        <w:trPr>
          <w:tblHeader w:val="true"/>
          <w:cantSplit/>
        </w:trPr>
        <w:tc>
          <w:tcPr>
            <w:tcW w:type="dxa" w:w="850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5"/>
              </w:rPr>
              <w:t>Лот</w:t>
            </w:r>
          </w:p>
        </w:tc>
        <w:tc>
          <w:tcPr>
            <w:tcW w:type="dxa" w:w="624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5"/>
              </w:rPr>
              <w:t>Режим</w:t>
            </w:r>
          </w:p>
        </w:tc>
        <w:tc>
          <w:tcPr>
            <w:tcW w:type="dxa" w:w="850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5"/>
              </w:rPr>
              <w:t>c0</w:t>
            </w:r>
          </w:p>
        </w:tc>
        <w:tc>
          <w:tcPr>
            <w:tcW w:type="dxa" w:w="850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5"/>
              </w:rPr>
              <w:t>OPEX</w:t>
            </w:r>
          </w:p>
        </w:tc>
        <w:tc>
          <w:tcPr>
            <w:tcW w:type="dxa" w:w="850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5"/>
              </w:rPr>
              <w:t>vpub</w:t>
            </w:r>
          </w:p>
        </w:tc>
        <w:tc>
          <w:tcPr>
            <w:tcW w:type="dxa" w:w="850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5"/>
              </w:rPr>
              <w:t>Anchor</w:t>
            </w:r>
          </w:p>
        </w:tc>
        <w:tc>
          <w:tcPr>
            <w:tcW w:type="dxa" w:w="1020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5"/>
              </w:rPr>
              <w:t>Commercial</w:t>
            </w:r>
          </w:p>
        </w:tc>
        <w:tc>
          <w:tcPr>
            <w:tcW w:type="dxa" w:w="850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5"/>
              </w:rPr>
              <w:t>Cash</w:t>
            </w:r>
          </w:p>
        </w:tc>
        <w:tc>
          <w:tcPr>
            <w:tcW w:type="dxa" w:w="1191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5"/>
              </w:rPr>
              <w:t>Баланс OPEX</w:t>
            </w:r>
          </w:p>
        </w:tc>
      </w:tr>
      <w:tr>
        <w:trPr>
          <w:cantSplit/>
        </w:trPr>
        <w:tc>
          <w:tcPr>
            <w:tcW w:type="dxa" w:w="85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FIRE</w:t>
            </w:r>
          </w:p>
        </w:tc>
        <w:tc>
          <w:tcPr>
            <w:tcW w:type="dxa" w:w="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A</w:t>
            </w:r>
          </w:p>
        </w:tc>
        <w:tc>
          <w:tcPr>
            <w:tcW w:type="dxa" w:w="85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336</w:t>
            </w:r>
          </w:p>
        </w:tc>
        <w:tc>
          <w:tcPr>
            <w:tcW w:type="dxa" w:w="85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89,25</w:t>
            </w:r>
          </w:p>
        </w:tc>
        <w:tc>
          <w:tcPr>
            <w:tcW w:type="dxa" w:w="85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560,0</w:t>
            </w:r>
          </w:p>
        </w:tc>
        <w:tc>
          <w:tcPr>
            <w:tcW w:type="dxa" w:w="85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75</w:t>
            </w:r>
          </w:p>
        </w:tc>
        <w:tc>
          <w:tcPr>
            <w:tcW w:type="dxa" w:w="10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8,75</w:t>
            </w:r>
          </w:p>
        </w:tc>
        <w:tc>
          <w:tcPr>
            <w:tcW w:type="dxa" w:w="85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83,75</w:t>
            </w:r>
          </w:p>
        </w:tc>
        <w:tc>
          <w:tcPr>
            <w:tcW w:type="dxa" w:w="119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−5,5</w:t>
            </w:r>
          </w:p>
        </w:tc>
      </w:tr>
      <w:tr>
        <w:trPr>
          <w:cantSplit/>
        </w:trPr>
        <w:tc>
          <w:tcPr>
            <w:tcW w:type="dxa" w:w="85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ENV</w:t>
            </w:r>
          </w:p>
        </w:tc>
        <w:tc>
          <w:tcPr>
            <w:tcW w:type="dxa" w:w="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A</w:t>
            </w:r>
          </w:p>
        </w:tc>
        <w:tc>
          <w:tcPr>
            <w:tcW w:type="dxa" w:w="85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294</w:t>
            </w:r>
          </w:p>
        </w:tc>
        <w:tc>
          <w:tcPr>
            <w:tcW w:type="dxa" w:w="85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78,75</w:t>
            </w:r>
          </w:p>
        </w:tc>
        <w:tc>
          <w:tcPr>
            <w:tcW w:type="dxa" w:w="85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360,0</w:t>
            </w:r>
          </w:p>
        </w:tc>
        <w:tc>
          <w:tcPr>
            <w:tcW w:type="dxa" w:w="85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55</w:t>
            </w:r>
          </w:p>
        </w:tc>
        <w:tc>
          <w:tcPr>
            <w:tcW w:type="dxa" w:w="10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21,25</w:t>
            </w:r>
          </w:p>
        </w:tc>
        <w:tc>
          <w:tcPr>
            <w:tcW w:type="dxa" w:w="85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76,25</w:t>
            </w:r>
          </w:p>
        </w:tc>
        <w:tc>
          <w:tcPr>
            <w:tcW w:type="dxa" w:w="119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−2,5</w:t>
            </w:r>
          </w:p>
        </w:tc>
      </w:tr>
      <w:tr>
        <w:trPr>
          <w:cantSplit/>
        </w:trPr>
        <w:tc>
          <w:tcPr>
            <w:tcW w:type="dxa" w:w="85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AGRI</w:t>
            </w:r>
          </w:p>
        </w:tc>
        <w:tc>
          <w:tcPr>
            <w:tcW w:type="dxa" w:w="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B</w:t>
            </w:r>
          </w:p>
        </w:tc>
        <w:tc>
          <w:tcPr>
            <w:tcW w:type="dxa" w:w="85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260</w:t>
            </w:r>
          </w:p>
        </w:tc>
        <w:tc>
          <w:tcPr>
            <w:tcW w:type="dxa" w:w="85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75,0</w:t>
            </w:r>
          </w:p>
        </w:tc>
        <w:tc>
          <w:tcPr>
            <w:tcW w:type="dxa" w:w="85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188,6</w:t>
            </w:r>
          </w:p>
        </w:tc>
        <w:tc>
          <w:tcPr>
            <w:tcW w:type="dxa" w:w="85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24</w:t>
            </w:r>
          </w:p>
        </w:tc>
        <w:tc>
          <w:tcPr>
            <w:tcW w:type="dxa" w:w="10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84,0</w:t>
            </w:r>
          </w:p>
        </w:tc>
        <w:tc>
          <w:tcPr>
            <w:tcW w:type="dxa" w:w="85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108,0</w:t>
            </w:r>
          </w:p>
        </w:tc>
        <w:tc>
          <w:tcPr>
            <w:tcW w:type="dxa" w:w="119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+33,0</w:t>
            </w:r>
          </w:p>
        </w:tc>
      </w:tr>
      <w:tr>
        <w:trPr>
          <w:cantSplit/>
        </w:trPr>
        <w:tc>
          <w:tcPr>
            <w:tcW w:type="dxa" w:w="85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TRANS</w:t>
            </w:r>
          </w:p>
        </w:tc>
        <w:tc>
          <w:tcPr>
            <w:tcW w:type="dxa" w:w="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B</w:t>
            </w:r>
          </w:p>
        </w:tc>
        <w:tc>
          <w:tcPr>
            <w:tcW w:type="dxa" w:w="85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250</w:t>
            </w:r>
          </w:p>
        </w:tc>
        <w:tc>
          <w:tcPr>
            <w:tcW w:type="dxa" w:w="85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70,0</w:t>
            </w:r>
          </w:p>
        </w:tc>
        <w:tc>
          <w:tcPr>
            <w:tcW w:type="dxa" w:w="85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180,4</w:t>
            </w:r>
          </w:p>
        </w:tc>
        <w:tc>
          <w:tcPr>
            <w:tcW w:type="dxa" w:w="85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36</w:t>
            </w:r>
          </w:p>
        </w:tc>
        <w:tc>
          <w:tcPr>
            <w:tcW w:type="dxa" w:w="10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66,5</w:t>
            </w:r>
          </w:p>
        </w:tc>
        <w:tc>
          <w:tcPr>
            <w:tcW w:type="dxa" w:w="85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102,5</w:t>
            </w:r>
          </w:p>
        </w:tc>
        <w:tc>
          <w:tcPr>
            <w:tcW w:type="dxa" w:w="119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+32,5</w:t>
            </w:r>
          </w:p>
        </w:tc>
      </w:tr>
      <w:tr>
        <w:trPr>
          <w:cantSplit/>
        </w:trPr>
        <w:tc>
          <w:tcPr>
            <w:tcW w:type="dxa" w:w="85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Итого</w:t>
            </w:r>
          </w:p>
        </w:tc>
        <w:tc>
          <w:tcPr>
            <w:tcW w:type="dxa" w:w="6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</w:r>
          </w:p>
        </w:tc>
        <w:tc>
          <w:tcPr>
            <w:tcW w:type="dxa" w:w="85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1 140</w:t>
            </w:r>
          </w:p>
        </w:tc>
        <w:tc>
          <w:tcPr>
            <w:tcW w:type="dxa" w:w="85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313,0</w:t>
            </w:r>
          </w:p>
        </w:tc>
        <w:tc>
          <w:tcPr>
            <w:tcW w:type="dxa" w:w="85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1 289,0</w:t>
            </w:r>
          </w:p>
        </w:tc>
        <w:tc>
          <w:tcPr>
            <w:tcW w:type="dxa" w:w="85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190</w:t>
            </w:r>
          </w:p>
        </w:tc>
        <w:tc>
          <w:tcPr>
            <w:tcW w:type="dxa" w:w="102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180,5</w:t>
            </w:r>
          </w:p>
        </w:tc>
        <w:tc>
          <w:tcPr>
            <w:tcW w:type="dxa" w:w="850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370,5</w:t>
            </w:r>
          </w:p>
        </w:tc>
        <w:tc>
          <w:tcPr>
            <w:tcW w:type="dxa" w:w="119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+57,5</w:t>
            </w:r>
          </w:p>
        </w:tc>
      </w:tr>
    </w:tbl>
    <w:p>
      <w:pPr>
        <w:spacing w:after="0"/>
      </w:pPr>
    </w:p>
    <w:p>
      <w:r>
        <w:rPr>
          <w:rFonts w:ascii="Arial" w:hAnsi="Arial" w:eastAsia="Arial"/>
          <w:sz w:val="21"/>
        </w:rPr>
        <w:t>Денежная устойчивость оценивается на уровне портфеля единого оператора. FIRE и ENV по отдельности имеют годовой разрыв 5,5 и 2,5 млн руб. AGRI и TRANS дают положительный операционный запас 33 и 32,5 млн руб. Соответственно, общий портфельный баланс равен +57,5 млн руб./год. Это не бухгалтерская прибыль и не доказанная коммерческая окупаемость: cash — модельный денежный поток кейса.</w:t>
      </w:r>
    </w:p>
    <w:p>
      <w:r>
        <w:rPr>
          <w:rFonts w:ascii="Arial" w:hAnsi="Arial" w:eastAsia="Arial"/>
          <w:sz w:val="21"/>
        </w:rPr>
        <w:t>Общественная ценность vpub = 1 289 млн руб./год учитывается отдельно от cash. Она выражена в единицах шкалы кейса и не складывается с денежными поступлениями. После запуска фактическая полезность должна проверяться через журналы событий, время до решения, долю подтверждённых сигналов, охват и использование сервиса; конечный предотвращённый ущерб в текущей модели не рассчитывается.</w:t>
      </w:r>
    </w:p>
    <w:p>
      <w:pPr>
        <w:pStyle w:val="Heading1"/>
      </w:pPr>
      <w:r>
        <w:t>6. Финансирование и договорная схема</w:t>
      </w:r>
    </w:p>
    <w:p>
      <w:r>
        <w:rPr>
          <w:rFonts w:ascii="Arial" w:hAnsi="Arial" w:eastAsia="Arial"/>
          <w:sz w:val="21"/>
        </w:rPr>
        <w:t>Так как исходные материалы не назначают плательщика c0, команда приняла схему двух контуров финансирования. Она является управленческим допущением и не меняет канонические расчёты.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rPr>
          <w:tblHeader w:val="true"/>
          <w:cantSplit/>
        </w:trPr>
        <w:tc>
          <w:tcPr>
            <w:tcW w:type="dxa" w:w="1191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6"/>
              </w:rPr>
              <w:t>Контур</w:t>
            </w:r>
          </w:p>
        </w:tc>
        <w:tc>
          <w:tcPr>
            <w:tcW w:type="dxa" w:w="1247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6"/>
              </w:rPr>
              <w:t>Лоты</w:t>
            </w:r>
          </w:p>
        </w:tc>
        <w:tc>
          <w:tcPr>
            <w:tcW w:type="dxa" w:w="1134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6"/>
              </w:rPr>
              <w:t>c0</w:t>
            </w:r>
          </w:p>
        </w:tc>
        <w:tc>
          <w:tcPr>
            <w:tcW w:type="dxa" w:w="3005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6"/>
              </w:rPr>
              <w:t>Предлагаемый инструмент</w:t>
            </w:r>
          </w:p>
        </w:tc>
        <w:tc>
          <w:tcPr>
            <w:tcW w:type="dxa" w:w="2324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6"/>
              </w:rPr>
              <w:t>Логика</w:t>
            </w:r>
          </w:p>
        </w:tc>
      </w:tr>
      <w:tr>
        <w:trPr>
          <w:cantSplit/>
        </w:trPr>
        <w:tc>
          <w:tcPr>
            <w:tcW w:type="dxa" w:w="119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Бюджетный</w:t>
            </w:r>
          </w:p>
        </w:tc>
        <w:tc>
          <w:tcPr>
            <w:tcW w:type="dxa" w:w="1247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FIRE, ENV</w:t>
            </w:r>
          </w:p>
        </w:tc>
        <w:tc>
          <w:tcPr>
            <w:tcW w:type="dxa" w:w="113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630 млн руб.</w:t>
            </w:r>
          </w:p>
        </w:tc>
        <w:tc>
          <w:tcPr>
            <w:tcW w:type="dxa" w:w="3005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Госконтракт на услугу; федеральное/региональное софинансирование. Для FIRE дополнительно рассматривается межрегиональное соглашение.</w:t>
            </w:r>
          </w:p>
        </w:tc>
        <w:tc>
          <w:tcPr>
            <w:tcW w:type="dxa" w:w="23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Public core и низкая коммерческая компонента.</w:t>
            </w:r>
          </w:p>
        </w:tc>
      </w:tr>
      <w:tr>
        <w:trPr>
          <w:cantSplit/>
        </w:trPr>
        <w:tc>
          <w:tcPr>
            <w:tcW w:type="dxa" w:w="119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Частный / ГЧП</w:t>
            </w:r>
          </w:p>
        </w:tc>
        <w:tc>
          <w:tcPr>
            <w:tcW w:type="dxa" w:w="1247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AGRI, TRANS</w:t>
            </w:r>
          </w:p>
        </w:tc>
        <w:tc>
          <w:tcPr>
            <w:tcW w:type="dxa" w:w="113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510 млн руб.</w:t>
            </w:r>
          </w:p>
        </w:tc>
        <w:tc>
          <w:tcPr>
            <w:tcW w:type="dxa" w:w="3005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Соглашение о ГЧП с якорной платой публичного партнёра и коммерческой выручкой.</w:t>
            </w:r>
          </w:p>
        </w:tc>
        <w:tc>
          <w:tcPr>
            <w:tcW w:type="dxa" w:w="23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Положительный годовой операционный поток и платные прикладные функции.</w:t>
            </w:r>
          </w:p>
        </w:tc>
      </w:tr>
    </w:tbl>
    <w:p>
      <w:pPr>
        <w:spacing w:after="0"/>
      </w:pPr>
    </w:p>
    <w:p>
      <w:r>
        <w:rPr>
          <w:rFonts w:ascii="Arial" w:hAnsi="Arial" w:eastAsia="Arial"/>
          <w:sz w:val="21"/>
        </w:rPr>
        <w:t>Предлагаемые якорные плательщики: для FIRE — МЧС, для ENV — Минприроды, для AGRI — Минсельхоз, для дорожной части TRANS — Росавтодор. Это рабочие гипотезы, а не подтверждённые заказчики. Коммерческие пользователи AGRI и TRANS — хозяйства, кооперативы, страховщики, транспортные операторы и перевозчики; для FIRE и ENV коммерческая часть меньше и относится к расширениям, истории, интеграциям и аналитике объектов.</w:t>
      </w:r>
    </w:p>
    <w:p>
      <w:pPr/>
      <w:r>
        <w:rPr>
          <w:rFonts w:ascii="Arial" w:hAnsi="Arial" w:eastAsia="Arial"/>
          <w:sz w:val="21"/>
        </w:rPr>
        <w:t>Для AGRI и TRANS семилетний аналитический горизонт не возвращает частный c0 простым недисконтированным потоком: AGRI формирует 231 млн руб. против c0 260, TRANS — 227,5 против 250. Поэтому команда принимает как проектное допущение договорный срок ГЧП не менее 10 лет с момента запуска прикладного слоя: при ориентировочном старте в 2029 году — до 2038 года включительно, с опционом продления. За 10 лет простой поток составляет 330 млн руб. для AGRI и 325 млн руб. для TRANS. Налоги, дисконтирование и стоимость капитала не учтены; следовательно, эти числа нельзя трактовать как NPV или доказанную доходность.</w:t>
      </w:r>
    </w:p>
    <w:p>
      <w:pPr>
        <w:pStyle w:val="Heading2"/>
      </w:pPr>
      <w:r>
        <w:t>6.1. Карта участников и потоков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2"/>
        <w:gridCol w:w="3362"/>
        <w:gridCol w:w="3362"/>
      </w:tblGrid>
      <w:tr>
        <w:trPr>
          <w:tblHeader w:val="true"/>
          <w:cantSplit/>
        </w:trPr>
        <w:tc>
          <w:tcPr>
            <w:tcW w:type="dxa" w:w="1928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6"/>
              </w:rPr>
              <w:t>Участник</w:t>
            </w:r>
          </w:p>
        </w:tc>
        <w:tc>
          <w:tcPr>
            <w:tcW w:type="dxa" w:w="3742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6"/>
              </w:rPr>
              <w:t>Роль</w:t>
            </w:r>
          </w:p>
        </w:tc>
        <w:tc>
          <w:tcPr>
            <w:tcW w:type="dxa" w:w="3402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6"/>
              </w:rPr>
              <w:t>Основной поток / обязательство</w:t>
            </w:r>
          </w:p>
        </w:tc>
      </w:tr>
      <w:tr>
        <w:trPr>
          <w:cantSplit/>
        </w:trPr>
        <w:tc>
          <w:tcPr>
            <w:tcW w:type="dxa" w:w="19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Межрегиональный заказчик</w:t>
            </w:r>
          </w:p>
        </w:tc>
        <w:tc>
          <w:tcPr>
            <w:tcW w:type="dxa" w:w="374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Задаёт цели, каталог сервисов, правила доступа, SLA и порядок смены поставщика.</w:t>
            </w:r>
          </w:p>
        </w:tc>
        <w:tc>
          <w:tcPr>
            <w:tcW w:type="dxa" w:w="340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Формирует требования; утверждает портфель и изменения.</w:t>
            </w:r>
          </w:p>
        </w:tc>
      </w:tr>
      <w:tr>
        <w:trPr>
          <w:cantSplit/>
        </w:trPr>
        <w:tc>
          <w:tcPr>
            <w:tcW w:type="dxa" w:w="19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Публичные заказчики</w:t>
            </w:r>
          </w:p>
        </w:tc>
        <w:tc>
          <w:tcPr>
            <w:tcW w:type="dxa" w:w="374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Якорные плательщики и принимающие стороны для публичных функций.</w:t>
            </w:r>
          </w:p>
        </w:tc>
        <w:tc>
          <w:tcPr>
            <w:tcW w:type="dxa" w:w="340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Anchor cash; приёмка базового/агрегированного слоя.</w:t>
            </w:r>
          </w:p>
        </w:tc>
      </w:tr>
      <w:tr>
        <w:trPr>
          <w:cantSplit/>
        </w:trPr>
        <w:tc>
          <w:tcPr>
            <w:tcW w:type="dxa" w:w="19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Единый оператор</w:t>
            </w:r>
          </w:p>
        </w:tc>
        <w:tc>
          <w:tcPr>
            <w:tcW w:type="dxa" w:w="374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Управляет доступом, SLA, журналами, интеграциями и поддержкой.</w:t>
            </w:r>
          </w:p>
        </w:tc>
        <w:tc>
          <w:tcPr>
            <w:tcW w:type="dxa" w:w="340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Получает денежные потоки; оплачивает поставщиков; несёт сквозное обязательство по сервису.</w:t>
            </w:r>
          </w:p>
        </w:tc>
      </w:tr>
      <w:tr>
        <w:trPr>
          <w:cantSplit/>
        </w:trPr>
        <w:tc>
          <w:tcPr>
            <w:tcW w:type="dxa" w:w="19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Поставщики данных и аналитики</w:t>
            </w:r>
          </w:p>
        </w:tc>
        <w:tc>
          <w:tcPr>
            <w:tcW w:type="dxa" w:w="374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Поставляют данные и обработку по открытым спецификациям.</w:t>
            </w:r>
          </w:p>
        </w:tc>
        <w:tc>
          <w:tcPr>
            <w:tcW w:type="dxa" w:w="340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Оплата по контракту; обязанность экспорта и передачи истории.</w:t>
            </w:r>
          </w:p>
        </w:tc>
      </w:tr>
      <w:tr>
        <w:trPr>
          <w:cantSplit/>
        </w:trPr>
        <w:tc>
          <w:tcPr>
            <w:tcW w:type="dxa" w:w="19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Коммерческие пользователи</w:t>
            </w:r>
          </w:p>
        </w:tc>
        <w:tc>
          <w:tcPr>
            <w:tcW w:type="dxa" w:w="374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Покупают детальную аналитику своих объектов/территорий и интеграции.</w:t>
            </w:r>
          </w:p>
        </w:tc>
        <w:tc>
          <w:tcPr>
            <w:tcW w:type="dxa" w:w="340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Commercial cash.</w:t>
            </w:r>
          </w:p>
        </w:tc>
      </w:tr>
      <w:tr>
        <w:trPr>
          <w:cantSplit/>
        </w:trPr>
        <w:tc>
          <w:tcPr>
            <w:tcW w:type="dxa" w:w="192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Региональная принимающая сторона</w:t>
            </w:r>
          </w:p>
        </w:tc>
        <w:tc>
          <w:tcPr>
            <w:tcW w:type="dxa" w:w="374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Проверяет применимость результата и фиксирует действие пользователя.</w:t>
            </w:r>
          </w:p>
        </w:tc>
        <w:tc>
          <w:tcPr>
            <w:tcW w:type="dxa" w:w="3402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KPI, обратная связь, подтверждение качества.</w:t>
            </w:r>
          </w:p>
        </w:tc>
      </w:tr>
    </w:tbl>
    <w:p>
      <w:pPr>
        <w:spacing w:after="0"/>
      </w:pPr>
    </w:p>
    <w:p>
      <w:pPr>
        <w:pStyle w:val="Heading1"/>
      </w:pPr>
      <w:r>
        <w:t>7. Режимы доступа и эксплуатационная организация</w:t>
      </w:r>
    </w:p>
    <w:p>
      <w:r>
        <w:rPr>
          <w:rFonts w:ascii="Arial" w:hAnsi="Arial" w:eastAsia="Arial"/>
          <w:sz w:val="21"/>
        </w:rPr>
        <w:t>Содержательная трактовка режимов A и B разработана командой поверх коэффициентов case data. Она не является дополнительной формулой и не меняет расчёт. Для FIRE и ENV режим A означает гарантированный базовый сервис уполномоченным публичным пользователям на срок контракта. Для AGRI и TRANS режим B означает агрегированный слой якорному заказчику и авторизованный доступ организаций к детальной аналитике своих территорий или объектов.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1"/>
        <w:gridCol w:w="2521"/>
        <w:gridCol w:w="2521"/>
        <w:gridCol w:w="2521"/>
      </w:tblGrid>
      <w:tr>
        <w:trPr>
          <w:tblHeader w:val="true"/>
          <w:cantSplit/>
        </w:trPr>
        <w:tc>
          <w:tcPr>
            <w:tcW w:type="dxa" w:w="1134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5"/>
              </w:rPr>
              <w:t>Лот</w:t>
            </w:r>
          </w:p>
        </w:tc>
        <w:tc>
          <w:tcPr>
            <w:tcW w:type="dxa" w:w="2551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5"/>
              </w:rPr>
              <w:t>Базовый доступ</w:t>
            </w:r>
          </w:p>
        </w:tc>
        <w:tc>
          <w:tcPr>
            <w:tcW w:type="dxa" w:w="2551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5"/>
              </w:rPr>
              <w:t>Дополнительный доступ</w:t>
            </w:r>
          </w:p>
        </w:tc>
        <w:tc>
          <w:tcPr>
            <w:tcW w:type="dxa" w:w="2835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5"/>
              </w:rPr>
              <w:t>Приёмка</w:t>
            </w:r>
          </w:p>
        </w:tc>
      </w:tr>
      <w:tr>
        <w:trPr>
          <w:cantSplit/>
        </w:trPr>
        <w:tc>
          <w:tcPr>
            <w:tcW w:type="dxa" w:w="113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FIRE-A</w:t>
            </w:r>
          </w:p>
        </w:tc>
        <w:tc>
          <w:tcPr>
            <w:tcW w:type="dxa" w:w="255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Карта событий, время наблюдения, уверенность, статус проверки — уполномоченным органам.</w:t>
            </w:r>
          </w:p>
        </w:tc>
        <w:tc>
          <w:tcPr>
            <w:tcW w:type="dxa" w:w="255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История, интеграции и расширенная аналитика.</w:t>
            </w:r>
          </w:p>
        </w:tc>
        <w:tc>
          <w:tcPr>
            <w:tcW w:type="dxa" w:w="2835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Лесная/диспетчерская служба проверяет эталонную выборку, свежесть и покрытие.</w:t>
            </w:r>
          </w:p>
        </w:tc>
      </w:tr>
      <w:tr>
        <w:trPr>
          <w:cantSplit/>
        </w:trPr>
        <w:tc>
          <w:tcPr>
            <w:tcW w:type="dxa" w:w="113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ENV-A</w:t>
            </w:r>
          </w:p>
        </w:tc>
        <w:tc>
          <w:tcPr>
            <w:tcW w:type="dxa" w:w="255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Карта зон риска, время наблюдения, уверенность, статус проверки.</w:t>
            </w:r>
          </w:p>
        </w:tc>
        <w:tc>
          <w:tcPr>
            <w:tcW w:type="dxa" w:w="255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Отчёты, история и аналитика объектов по договору.</w:t>
            </w:r>
          </w:p>
        </w:tc>
        <w:tc>
          <w:tcPr>
            <w:tcW w:type="dxa" w:w="2835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Природоохранный орган сопоставляет сигнал с наземной проверкой.</w:t>
            </w:r>
          </w:p>
        </w:tc>
      </w:tr>
      <w:tr>
        <w:trPr>
          <w:cantSplit/>
        </w:trPr>
        <w:tc>
          <w:tcPr>
            <w:tcW w:type="dxa" w:w="113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AGRI-B</w:t>
            </w:r>
          </w:p>
        </w:tc>
        <w:tc>
          <w:tcPr>
            <w:tcW w:type="dxa" w:w="255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Агрегированная картина якорному заказчику.</w:t>
            </w:r>
          </w:p>
        </w:tc>
        <w:tc>
          <w:tcPr>
            <w:tcW w:type="dxa" w:w="255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Детальная аналитика собственных полей, история и интеграция.</w:t>
            </w:r>
          </w:p>
        </w:tc>
        <w:tc>
          <w:tcPr>
            <w:tcW w:type="dxa" w:w="2835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Орган АПК принимает агрегированный слой; хозяйство проверяет данные своего контура.</w:t>
            </w:r>
          </w:p>
        </w:tc>
      </w:tr>
      <w:tr>
        <w:trPr>
          <w:cantSplit/>
        </w:trPr>
        <w:tc>
          <w:tcPr>
            <w:tcW w:type="dxa" w:w="113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TRANS-B</w:t>
            </w:r>
          </w:p>
        </w:tc>
        <w:tc>
          <w:tcPr>
            <w:tcW w:type="dxa" w:w="255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Агрегированная картина якорному заказчику.</w:t>
            </w:r>
          </w:p>
        </w:tc>
        <w:tc>
          <w:tcPr>
            <w:tcW w:type="dxa" w:w="255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Данные собственных объектов, история и API.</w:t>
            </w:r>
          </w:p>
        </w:tc>
        <w:tc>
          <w:tcPr>
            <w:tcW w:type="dxa" w:w="2835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5"/>
              </w:rPr>
              <w:t>Транспортный орган/оператор проверяет покрытие, задержку, экспорт и события.</w:t>
            </w:r>
          </w:p>
        </w:tc>
      </w:tr>
    </w:tbl>
    <w:p>
      <w:pPr>
        <w:spacing w:after="0"/>
      </w:pPr>
    </w:p>
    <w:p>
      <w:r>
        <w:rPr>
          <w:rFonts w:ascii="Arial" w:hAnsi="Arial" w:eastAsia="Arial"/>
          <w:sz w:val="21"/>
        </w:rPr>
        <w:t>Целевая эксплуатационная архитектура предусматривает сервис-деск и API, журналирование доступа, открытые форматы CSV/GeoJSON, хранение истории с processing_version, отметки source_updated_at и stale при пробелах данных. Эти механизмы в расчётном движке не реализованы и рассматриваются как договорные и архитектурные требования к будущему сервису.</w:t>
      </w:r>
    </w:p>
    <w:p>
      <w:pPr>
        <w:pStyle w:val="Heading1"/>
      </w:pPr>
      <w:r>
        <w:t>8. Риски, конкуренция и смена поставщика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rPr>
          <w:tblHeader w:val="true"/>
          <w:cantSplit/>
        </w:trPr>
        <w:tc>
          <w:tcPr>
            <w:tcW w:type="dxa" w:w="1531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4"/>
              </w:rPr>
              <w:t>Риск</w:t>
            </w:r>
          </w:p>
        </w:tc>
        <w:tc>
          <w:tcPr>
            <w:tcW w:type="dxa" w:w="1984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4"/>
              </w:rPr>
              <w:t>Последствие</w:t>
            </w:r>
          </w:p>
        </w:tc>
        <w:tc>
          <w:tcPr>
            <w:tcW w:type="dxa" w:w="2608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4"/>
              </w:rPr>
              <w:t>Мера</w:t>
            </w:r>
          </w:p>
        </w:tc>
        <w:tc>
          <w:tcPr>
            <w:tcW w:type="dxa" w:w="1474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4"/>
              </w:rPr>
              <w:t>Владелец</w:t>
            </w:r>
          </w:p>
        </w:tc>
        <w:tc>
          <w:tcPr>
            <w:tcW w:type="dxa" w:w="2098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4"/>
              </w:rPr>
              <w:t>Ограничение меры</w:t>
            </w:r>
          </w:p>
        </w:tc>
      </w:tr>
      <w:tr>
        <w:trPr>
          <w:cantSplit/>
        </w:trPr>
        <w:tc>
          <w:tcPr>
            <w:tcW w:type="dxa" w:w="153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4"/>
              </w:rPr>
              <w:t>Пробел или задержка данных</w:t>
            </w:r>
          </w:p>
        </w:tc>
        <w:tc>
          <w:tcPr>
            <w:tcW w:type="dxa" w:w="1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4"/>
              </w:rPr>
              <w:t>Поздний/устаревший сигнал.</w:t>
            </w:r>
          </w:p>
        </w:tc>
        <w:tc>
          <w:tcPr>
            <w:tcW w:type="dxa" w:w="26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4"/>
              </w:rPr>
              <w:t>Несколько источников, SLA по свежести, последний валидный слой, ручной сценарий.</w:t>
            </w:r>
          </w:p>
        </w:tc>
        <w:tc>
          <w:tcPr>
            <w:tcW w:type="dxa" w:w="147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4"/>
              </w:rPr>
              <w:t>Оператор</w:t>
            </w:r>
          </w:p>
        </w:tc>
        <w:tc>
          <w:tcPr>
            <w:tcW w:type="dxa" w:w="209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4"/>
              </w:rPr>
              <w:t>Источники могут одновременно зависеть от одной орбитальной группировки.</w:t>
            </w:r>
          </w:p>
        </w:tc>
      </w:tr>
      <w:tr>
        <w:trPr>
          <w:cantSplit/>
        </w:trPr>
        <w:tc>
          <w:tcPr>
            <w:tcW w:type="dxa" w:w="153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4"/>
              </w:rPr>
              <w:t>Ложный или пропущенный сигнал</w:t>
            </w:r>
          </w:p>
        </w:tc>
        <w:tc>
          <w:tcPr>
            <w:tcW w:type="dxa" w:w="1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4"/>
              </w:rPr>
              <w:t>Неверный приоритет выезда, осмотра или обработки.</w:t>
            </w:r>
          </w:p>
        </w:tc>
        <w:tc>
          <w:tcPr>
            <w:tcW w:type="dxa" w:w="26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4"/>
              </w:rPr>
              <w:t>Порог уверенности, проверка человеком, журнал качества, контроль версии модели.</w:t>
            </w:r>
          </w:p>
        </w:tc>
        <w:tc>
          <w:tcPr>
            <w:tcW w:type="dxa" w:w="147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4"/>
              </w:rPr>
              <w:t>Владелец сервиса</w:t>
            </w:r>
          </w:p>
        </w:tc>
        <w:tc>
          <w:tcPr>
            <w:tcW w:type="dxa" w:w="209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4"/>
              </w:rPr>
              <w:t>Редкие события и сезонность ограничивают настройку.</w:t>
            </w:r>
          </w:p>
        </w:tc>
      </w:tr>
      <w:tr>
        <w:trPr>
          <w:cantSplit/>
        </w:trPr>
        <w:tc>
          <w:tcPr>
            <w:tcW w:type="dxa" w:w="153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4"/>
              </w:rPr>
              <w:t>Зависимость от поставщика</w:t>
            </w:r>
          </w:p>
        </w:tc>
        <w:tc>
          <w:tcPr>
            <w:tcW w:type="dxa" w:w="1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4"/>
              </w:rPr>
              <w:t>Рост цены, остановка обновлений, сложная миграция.</w:t>
            </w:r>
          </w:p>
        </w:tc>
        <w:tc>
          <w:tcPr>
            <w:tcW w:type="dxa" w:w="26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4"/>
              </w:rPr>
              <w:t>Открытые форматы/API, права на историю, второй допустимый источник, контрольный пересчёт.</w:t>
            </w:r>
          </w:p>
        </w:tc>
        <w:tc>
          <w:tcPr>
            <w:tcW w:type="dxa" w:w="147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4"/>
              </w:rPr>
              <w:t>Заказчик</w:t>
            </w:r>
          </w:p>
        </w:tc>
        <w:tc>
          <w:tcPr>
            <w:tcW w:type="dxa" w:w="209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4"/>
              </w:rPr>
              <w:t>Переход требует времени и денег; покрытие резервного источника может отличаться.</w:t>
            </w:r>
          </w:p>
        </w:tc>
      </w:tr>
      <w:tr>
        <w:trPr>
          <w:cantSplit/>
        </w:trPr>
        <w:tc>
          <w:tcPr>
            <w:tcW w:type="dxa" w:w="153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4"/>
              </w:rPr>
              <w:t>Сервис не встроен в процесс региона</w:t>
            </w:r>
          </w:p>
        </w:tc>
        <w:tc>
          <w:tcPr>
            <w:tcW w:type="dxa" w:w="1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4"/>
              </w:rPr>
              <w:t>Сигналы есть, но решения не принимаются.</w:t>
            </w:r>
          </w:p>
        </w:tc>
        <w:tc>
          <w:tcPr>
            <w:tcW w:type="dxa" w:w="26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4"/>
              </w:rPr>
              <w:t>Пилот, интеграции, обучение, регламент реакции.</w:t>
            </w:r>
          </w:p>
        </w:tc>
        <w:tc>
          <w:tcPr>
            <w:tcW w:type="dxa" w:w="147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4"/>
              </w:rPr>
              <w:t>Принимающая сторона</w:t>
            </w:r>
          </w:p>
        </w:tc>
        <w:tc>
          <w:tcPr>
            <w:tcW w:type="dxa" w:w="209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4"/>
              </w:rPr>
              <w:t>Организационные полномочия технологией не исправляются.</w:t>
            </w:r>
          </w:p>
        </w:tc>
      </w:tr>
      <w:tr>
        <w:trPr>
          <w:cantSplit/>
        </w:trPr>
        <w:tc>
          <w:tcPr>
            <w:tcW w:type="dxa" w:w="153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4"/>
              </w:rPr>
              <w:t>Неправомерный доступ</w:t>
            </w:r>
          </w:p>
        </w:tc>
        <w:tc>
          <w:tcPr>
            <w:tcW w:type="dxa" w:w="1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4"/>
              </w:rPr>
              <w:t>Раскрытие данных хозяйств, объектов или проверок.</w:t>
            </w:r>
          </w:p>
        </w:tc>
        <w:tc>
          <w:tcPr>
            <w:tcW w:type="dxa" w:w="26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4"/>
              </w:rPr>
              <w:t>Ролевой доступ, журналирование, аудит.</w:t>
            </w:r>
          </w:p>
        </w:tc>
        <w:tc>
          <w:tcPr>
            <w:tcW w:type="dxa" w:w="147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4"/>
              </w:rPr>
              <w:t>Оператор</w:t>
            </w:r>
          </w:p>
        </w:tc>
        <w:tc>
          <w:tcPr>
            <w:tcW w:type="dxa" w:w="209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4"/>
              </w:rPr>
              <w:t>Остаётся риск ошибки пользователя/администратора.</w:t>
            </w:r>
          </w:p>
        </w:tc>
      </w:tr>
      <w:tr>
        <w:trPr>
          <w:cantSplit/>
        </w:trPr>
        <w:tc>
          <w:tcPr>
            <w:tcW w:type="dxa" w:w="153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Спрос ниже модели</w:t>
            </w:r>
          </w:p>
        </w:tc>
        <w:tc>
          <w:tcPr>
            <w:tcW w:type="dxa" w:w="1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sz w:val="16"/>
              </w:rPr>
              <w:t>AGRI/TRANS теряют окупаемость; диагностический S2 при commercial cash = 0 показывает OPEX-gap 123 млн руб./год при K_cash = 0,607. S2 не является официальным STRESS и по умолчанию не фильтрует ranking.</w:t>
            </w:r>
          </w:p>
        </w:tc>
        <w:tc>
          <w:tcPr>
            <w:tcW w:type="dxa" w:w="26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10-летний срок ГЧП, поэтапный запуск, тарифные тесты.</w:t>
            </w:r>
          </w:p>
        </w:tc>
        <w:tc>
          <w:tcPr>
            <w:tcW w:type="dxa" w:w="147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Частный партнёр</w:t>
            </w:r>
          </w:p>
        </w:tc>
        <w:tc>
          <w:tcPr>
            <w:tcW w:type="dxa" w:w="209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При спросе ниже 40% плана возможен пересмотр платы.</w:t>
            </w:r>
          </w:p>
        </w:tc>
      </w:tr>
      <w:tr>
        <w:trPr>
          <w:cantSplit/>
        </w:trPr>
        <w:tc>
          <w:tcPr>
            <w:tcW w:type="dxa" w:w="153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4"/>
              </w:rPr>
              <w:t>Задержка бюджетных платежей</w:t>
            </w:r>
          </w:p>
        </w:tc>
        <w:tc>
          <w:tcPr>
            <w:tcW w:type="dxa" w:w="198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4"/>
              </w:rPr>
              <w:t>Кассовый разрыв и риск срыва обновлений FIRE/ENV.</w:t>
            </w:r>
          </w:p>
        </w:tc>
        <w:tc>
          <w:tcPr>
            <w:tcW w:type="dxa" w:w="260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4"/>
              </w:rPr>
              <w:t>Авансирование/этапные платежи, ответственность за просрочку, резерв ликвидности.</w:t>
            </w:r>
          </w:p>
        </w:tc>
        <w:tc>
          <w:tcPr>
            <w:tcW w:type="dxa" w:w="147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4"/>
              </w:rPr>
              <w:t>Публичный заказчик / оператор</w:t>
            </w:r>
          </w:p>
        </w:tc>
        <w:tc>
          <w:tcPr>
            <w:tcW w:type="dxa" w:w="2098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4"/>
              </w:rPr>
              <w:t>Точная договорная применимость требует юридической проверки.</w:t>
            </w:r>
          </w:p>
        </w:tc>
      </w:tr>
      <w:tr>
        <w:trPr>
          <w:cantSplit/>
        </w:trPr>
        <w:tc>
          <w:tcPr>
            <w:tcW w:type="dxa" w:w="2017"/>
          </w:tcPr>
          <w:p>
            <w:r>
              <w:rPr>
                <w:sz w:val="14"/>
              </w:rPr>
              <w:t>KPI ошибочно приписывает эффект сервису</w:t>
            </w:r>
          </w:p>
        </w:tc>
        <w:tc>
          <w:tcPr>
            <w:tcW w:type="dxa" w:w="2017"/>
          </w:tcPr>
          <w:p>
            <w:r>
              <w:rPr>
                <w:sz w:val="14"/>
              </w:rPr>
              <w:t>Завышена общественная ценность и управленческий вывод.</w:t>
            </w:r>
          </w:p>
        </w:tc>
        <w:tc>
          <w:tcPr>
            <w:tcW w:type="dxa" w:w="2017"/>
          </w:tcPr>
          <w:p>
            <w:r>
              <w:rPr>
                <w:sz w:val="14"/>
              </w:rPr>
              <w:t>Разделять выпуск сервиса, действие пользователя и конечный эффект; сопоставлять с наземными данными.</w:t>
            </w:r>
          </w:p>
        </w:tc>
        <w:tc>
          <w:tcPr>
            <w:tcW w:type="dxa" w:w="2017"/>
          </w:tcPr>
          <w:p>
            <w:r>
              <w:rPr>
                <w:sz w:val="14"/>
              </w:rPr>
              <w:t>Аналитик / принимающая сторона</w:t>
            </w:r>
          </w:p>
        </w:tc>
        <w:tc>
          <w:tcPr>
            <w:tcW w:type="dxa" w:w="2017"/>
          </w:tcPr>
          <w:p>
            <w:r>
              <w:rPr>
                <w:sz w:val="14"/>
              </w:rPr>
              <w:t>Полностью отделить влияние погоды, сезона и наземного реагирования может быть невозможно.</w:t>
            </w:r>
          </w:p>
        </w:tc>
      </w:tr>
    </w:tbl>
    <w:p>
      <w:pPr>
        <w:spacing w:after="0"/>
      </w:pPr>
    </w:p>
    <w:p>
      <w:r>
        <w:rPr>
          <w:rFonts w:ascii="Arial" w:hAnsi="Arial" w:eastAsia="Arial"/>
          <w:sz w:val="21"/>
        </w:rPr>
        <w:t>Правило смены поставщика: процедура запускается при повторном нарушении критического SLA после периода исправления, повторном непрохождении качества, утрате права на используемые данные, необоснованном превышении договорного ценового предела или отказе предоставить данные и документацию в открытом формате. Действующий поставщик передаёт историю, настройки, API и журналы качества; новый проходит контрольный пересчёт на эталонном наборе и период параллельной эксплуатации. Точные пороги и сроки должны быть зафиксированы в договоре после пилота.</w:t>
      </w:r>
    </w:p>
    <w:p>
      <w:pPr/>
      <w:r>
        <w:t>Рыночная конкуренция поддерживается раздельной закупкой совместимых компонентов и периодов услуги — исходных данных, обработки, интеграции и поддержки — при единых SLA, контрольном наборе, открытых форматах и праве заказчика на историю. Для критических групп предусматриваются минимум два квалифицированных источника либо документированный наземный резерв. Если фактический рынок не даёт двух сопоставимых поставщиков с нужными правами и покрытием, команда не заявляет формальную конкуренцию: ограничение фиксируется, а контроль цены, качества и переносимости усиливается.</w:t>
      </w:r>
    </w:p>
    <w:p>
      <w:r/>
    </w:p>
    <w:p>
      <w:pPr>
        <w:pStyle w:val="Heading1"/>
      </w:pPr>
      <w:r>
        <w:t>9. Стресс-сценарий</w:t>
      </w:r>
    </w:p>
    <w:p>
      <w:pPr/>
      <w:r>
        <w:rPr>
          <w:rFonts w:ascii="Arial" w:hAnsi="Arial" w:eastAsia="Arial"/>
          <w:sz w:val="21"/>
        </w:rPr>
        <w:t>Официальный STRESS меняет только предел c0: 1 300 → 1 180 млн руб. Исходная стоимость лотов не меняется. FINAL имеет c0 = 1 140 млн руб., поэтому состав и режимы сохраняются. Запас 40 млн руб. — около 3,4% стресс-лимита; удорожание самого портфеля примерно на 3,5% уже нарушает ограничение. OPEX выдерживает рост примерно до 15%, а при +20% превышает предел 360 млн руб./год. Снижение vpub на 20% и cash на 20% формальные ограничения FINAL не нарушает.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rPr>
          <w:tblHeader w:val="true"/>
          <w:cantSplit/>
        </w:trPr>
        <w:tc>
          <w:tcPr>
            <w:tcW w:type="dxa" w:w="2494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6"/>
              </w:rPr>
              <w:t>Показатель</w:t>
            </w:r>
          </w:p>
        </w:tc>
        <w:tc>
          <w:tcPr>
            <w:tcW w:type="dxa" w:w="2154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6"/>
              </w:rPr>
              <w:t>Требование STRESS</w:t>
            </w:r>
          </w:p>
        </w:tc>
        <w:tc>
          <w:tcPr>
            <w:tcW w:type="dxa" w:w="1701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6"/>
              </w:rPr>
              <w:t>Факт</w:t>
            </w:r>
          </w:p>
        </w:tc>
        <w:tc>
          <w:tcPr>
            <w:tcW w:type="dxa" w:w="1474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6"/>
              </w:rPr>
              <w:t>Запас</w:t>
            </w:r>
          </w:p>
        </w:tc>
        <w:tc>
          <w:tcPr>
            <w:tcW w:type="dxa" w:w="1361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6"/>
              </w:rPr>
              <w:t>Статус</w:t>
            </w:r>
          </w:p>
        </w:tc>
      </w:tr>
      <w:tr>
        <w:trPr>
          <w:cantSplit/>
        </w:trPr>
        <w:tc>
          <w:tcPr>
            <w:tcW w:type="dxa" w:w="249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c0</w:t>
            </w:r>
          </w:p>
        </w:tc>
        <w:tc>
          <w:tcPr>
            <w:tcW w:type="dxa" w:w="215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≤ 1 180</w:t>
            </w:r>
          </w:p>
        </w:tc>
        <w:tc>
          <w:tcPr>
            <w:tcW w:type="dxa" w:w="170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1 140</w:t>
            </w:r>
          </w:p>
        </w:tc>
        <w:tc>
          <w:tcPr>
            <w:tcW w:type="dxa" w:w="147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40</w:t>
            </w:r>
          </w:p>
        </w:tc>
        <w:tc>
          <w:tcPr>
            <w:tcW w:type="dxa" w:w="136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249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OPEX</w:t>
            </w:r>
          </w:p>
        </w:tc>
        <w:tc>
          <w:tcPr>
            <w:tcW w:type="dxa" w:w="215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≤ 360</w:t>
            </w:r>
          </w:p>
        </w:tc>
        <w:tc>
          <w:tcPr>
            <w:tcW w:type="dxa" w:w="170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313</w:t>
            </w:r>
          </w:p>
        </w:tc>
        <w:tc>
          <w:tcPr>
            <w:tcW w:type="dxa" w:w="147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47</w:t>
            </w:r>
          </w:p>
        </w:tc>
        <w:tc>
          <w:tcPr>
            <w:tcW w:type="dxa" w:w="136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249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vpub</w:t>
            </w:r>
          </w:p>
        </w:tc>
        <w:tc>
          <w:tcPr>
            <w:tcW w:type="dxa" w:w="215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≥ 1 000</w:t>
            </w:r>
          </w:p>
        </w:tc>
        <w:tc>
          <w:tcPr>
            <w:tcW w:type="dxa" w:w="170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1 289</w:t>
            </w:r>
          </w:p>
        </w:tc>
        <w:tc>
          <w:tcPr>
            <w:tcW w:type="dxa" w:w="147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289</w:t>
            </w:r>
          </w:p>
        </w:tc>
        <w:tc>
          <w:tcPr>
            <w:tcW w:type="dxa" w:w="136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249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K_cash</w:t>
            </w:r>
          </w:p>
        </w:tc>
        <w:tc>
          <w:tcPr>
            <w:tcW w:type="dxa" w:w="215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≥ 0,6</w:t>
            </w:r>
          </w:p>
        </w:tc>
        <w:tc>
          <w:tcPr>
            <w:tcW w:type="dxa" w:w="170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1,1837</w:t>
            </w:r>
          </w:p>
        </w:tc>
        <w:tc>
          <w:tcPr>
            <w:tcW w:type="dxa" w:w="147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0,5837</w:t>
            </w:r>
          </w:p>
        </w:tc>
        <w:tc>
          <w:tcPr>
            <w:tcW w:type="dxa" w:w="136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249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t_rep</w:t>
            </w:r>
          </w:p>
        </w:tc>
        <w:tc>
          <w:tcPr>
            <w:tcW w:type="dxa" w:w="215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≥ 0,63</w:t>
            </w:r>
          </w:p>
        </w:tc>
        <w:tc>
          <w:tcPr>
            <w:tcW w:type="dxa" w:w="170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0,73</w:t>
            </w:r>
          </w:p>
        </w:tc>
        <w:tc>
          <w:tcPr>
            <w:tcW w:type="dxa" w:w="147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0,10</w:t>
            </w:r>
          </w:p>
        </w:tc>
        <w:tc>
          <w:tcPr>
            <w:tcW w:type="dxa" w:w="136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PASS</w:t>
            </w:r>
          </w:p>
        </w:tc>
      </w:tr>
      <w:tr>
        <w:trPr>
          <w:cantSplit/>
        </w:trPr>
        <w:tc>
          <w:tcPr>
            <w:tcW w:type="dxa" w:w="249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Территории / capabilities / public core</w:t>
            </w:r>
          </w:p>
        </w:tc>
        <w:tc>
          <w:tcPr>
            <w:tcW w:type="dxa" w:w="215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≥ 3 / ≥ 2 / ≥ 2</w:t>
            </w:r>
          </w:p>
        </w:tc>
        <w:tc>
          <w:tcPr>
            <w:tcW w:type="dxa" w:w="170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4 / 2 / 2</w:t>
            </w:r>
          </w:p>
        </w:tc>
        <w:tc>
          <w:tcPr>
            <w:tcW w:type="dxa" w:w="147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1 / 0 / 0</w:t>
            </w:r>
          </w:p>
        </w:tc>
        <w:tc>
          <w:tcPr>
            <w:tcW w:type="dxa" w:w="136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PASS</w:t>
            </w:r>
          </w:p>
        </w:tc>
      </w:tr>
    </w:tbl>
    <w:p>
      <w:pPr>
        <w:spacing w:after="0"/>
      </w:pPr>
    </w:p>
    <w:p>
      <w:r>
        <w:rPr>
          <w:rFonts w:ascii="Arial" w:hAnsi="Arial" w:eastAsia="Arial"/>
          <w:sz w:val="21"/>
        </w:rPr>
        <w:t>Сохранение портфеля — управленческое решение, а не отсутствие реакции. Оно позволяет не повторять согласование пользователей, договоров и архитектуры. Стресс-запас резервируется под уточнение интеграционных затрат, приёмки и условий поставщиков. Если уточнённая смета выйдет за лимит, состав или режим пересматривается через расчётный инструмент; исходные стоимости вручную не уменьшаются.</w:t>
      </w:r>
    </w:p>
    <w:p>
      <w:pPr/>
      <w:r>
        <w:t>Официальный STRESS не проверяет спрос и календарную ликвидность. Дополнительный командный сценарий S2 «commercial cash = 0» оставляет anchor cash 190 млн руб./год: K_cash = 0,607, то есть порог 0,6 выполняется, но появляется годовой OPEX-gap 123 млн руб. S2 является диагностикой чувствительности, не является официальным STRESS и по умолчанию не фильтрует score или ranking. В интерфейсе отдельный переключатель «S2 как фильтр» позволяет демонстрационно посмотреть, как изменился бы отбор, если бы этот сценарий стал правилом; это не условие организаторов и не часть официального STRESS.</w:t>
      </w:r>
    </w:p>
    <w:p>
      <w:pPr>
        <w:pStyle w:val="Heading1"/>
      </w:pPr>
      <w:r>
        <w:t>10. Межрегиональное тиражирование</w:t>
      </w:r>
    </w:p>
    <w:p>
      <w:r>
        <w:rPr>
          <w:rFonts w:ascii="Arial" w:hAnsi="Arial" w:eastAsia="Arial"/>
          <w:sz w:val="21"/>
        </w:rPr>
        <w:t>Команда разделяет повторно используемое ядро и региональную настройку. Повторно используются каталог сервисов и ролей, конвейер получения и проверки данных, модель событий, API и форматы выгрузки, механизмы доступа и журналирования, типовые SLA, договорные условия, процедура смены поставщика, методика KPI и база знаний оператора.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3"/>
        <w:gridCol w:w="5043"/>
      </w:tblGrid>
      <w:tr>
        <w:trPr>
          <w:tblHeader w:val="true"/>
          <w:cantSplit/>
        </w:trPr>
        <w:tc>
          <w:tcPr>
            <w:tcW w:type="dxa" w:w="1417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6"/>
              </w:rPr>
              <w:t>Сервис</w:t>
            </w:r>
          </w:p>
        </w:tc>
        <w:tc>
          <w:tcPr>
            <w:tcW w:type="dxa" w:w="7483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6"/>
              </w:rPr>
              <w:t>Местная адаптация</w:t>
            </w:r>
          </w:p>
        </w:tc>
      </w:tr>
      <w:tr>
        <w:trPr>
          <w:cantSplit/>
        </w:trPr>
        <w:tc>
          <w:tcPr>
            <w:tcW w:type="dxa" w:w="1417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FIRE</w:t>
            </w:r>
          </w:p>
        </w:tc>
        <w:tc>
          <w:tcPr>
            <w:tcW w:type="dxa" w:w="74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Границы территорий, сезонные приоритеты, каналы диспетчеризации, перечень принимающих служб.</w:t>
            </w:r>
          </w:p>
        </w:tc>
      </w:tr>
      <w:tr>
        <w:trPr>
          <w:cantSplit/>
        </w:trPr>
        <w:tc>
          <w:tcPr>
            <w:tcW w:type="dxa" w:w="1417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ENV</w:t>
            </w:r>
          </w:p>
        </w:tc>
        <w:tc>
          <w:tcPr>
            <w:tcW w:type="dxa" w:w="74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Контролируемые зоны, типы событий, правила назначения инспекции, состав публикуемых агрегатов.</w:t>
            </w:r>
          </w:p>
        </w:tc>
      </w:tr>
      <w:tr>
        <w:trPr>
          <w:cantSplit/>
        </w:trPr>
        <w:tc>
          <w:tcPr>
            <w:tcW w:type="dxa" w:w="1417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AGRI</w:t>
            </w:r>
          </w:p>
        </w:tc>
        <w:tc>
          <w:tcPr>
            <w:tcW w:type="dxa" w:w="74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Границы полей, культуры и сезоны, права хозяйств, наземные данные и формат рекомендаций.</w:t>
            </w:r>
          </w:p>
        </w:tc>
      </w:tr>
      <w:tr>
        <w:trPr>
          <w:cantSplit/>
        </w:trPr>
        <w:tc>
          <w:tcPr>
            <w:tcW w:type="dxa" w:w="1417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TRANS</w:t>
            </w:r>
          </w:p>
        </w:tc>
        <w:tc>
          <w:tcPr>
            <w:tcW w:type="dxa" w:w="7483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rPr>
                <w:rFonts w:ascii="Arial" w:hAnsi="Arial" w:eastAsia="Arial"/>
                <w:sz w:val="16"/>
              </w:rPr>
              <w:t>Перечень объектов и маршрутов, интеграции операторов, уровни доступа и регламент реакции.</w:t>
            </w:r>
          </w:p>
        </w:tc>
      </w:tr>
    </w:tbl>
    <w:p>
      <w:pPr>
        <w:spacing w:after="0"/>
      </w:pPr>
    </w:p>
    <w:p>
      <w:pPr/>
      <w:r>
        <w:rPr>
          <w:rFonts w:ascii="Arial" w:hAnsi="Arial" w:eastAsia="Arial"/>
          <w:sz w:val="21"/>
        </w:rPr>
        <w:t>Зафиксированная последовательность масштабирования: 2027, I полугодие — подтверждение заказчиков, финансирования и условий; 2027, II полугодие – 2028, I полугодие — пилоты FIRE и ENV для проверки общего операторского контура и приёмки; 2028, II полугодие — разбор пилотов, корректировка KPI, SLA и обновление типового ядра; 2029–2030 — подключение AGRI и TRANS и запуск ГЧП; 2031–2033 — тиражирование в новые регионы. Эти сроки являются проектным допущением команды и не следуют из исходных условий кейса.</w:t>
      </w:r>
    </w:p>
    <w:p>
      <w:pPr>
        <w:pStyle w:val="Heading1"/>
      </w:pPr>
      <w:r>
        <w:t>11. План реализации и контроль результата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7"/>
        <w:gridCol w:w="2017"/>
        <w:gridCol w:w="2017"/>
        <w:gridCol w:w="2017"/>
        <w:gridCol w:w="2017"/>
      </w:tblGrid>
      <w:tr>
        <w:trPr>
          <w:tblHeader w:val="true"/>
          <w:cantSplit/>
        </w:trPr>
        <w:tc>
          <w:tcPr>
            <w:tcW w:type="dxa" w:w="1247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5"/>
              </w:rPr>
              <w:t>Этап</w:t>
            </w:r>
          </w:p>
        </w:tc>
        <w:tc>
          <w:tcPr>
            <w:tcW w:type="dxa" w:w="2835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5"/>
              </w:rPr>
              <w:t>Содержание</w:t>
            </w:r>
          </w:p>
        </w:tc>
        <w:tc>
          <w:tcPr>
            <w:tcW w:type="dxa" w:w="2324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5"/>
              </w:rPr>
              <w:t>Результат</w:t>
            </w:r>
          </w:p>
        </w:tc>
        <w:tc>
          <w:tcPr>
            <w:tcW w:type="dxa" w:w="1871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5"/>
              </w:rPr>
              <w:t>Ответственный контур</w:t>
            </w:r>
          </w:p>
        </w:tc>
        <w:tc>
          <w:tcPr>
            <w:tcW w:type="dxa" w:w="1814"/>
            <w:shd w:fill="D9D9D9"/>
            <w:vAlign w:val="center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pPr>
              <w:jc w:val="center"/>
            </w:pPr>
            <w:r>
              <w:rPr>
                <w:rFonts w:ascii="Arial" w:hAnsi="Arial" w:eastAsia="Arial"/>
                <w:b/>
                <w:sz w:val="15"/>
              </w:rPr>
              <w:t>Зависимость</w:t>
            </w:r>
          </w:p>
        </w:tc>
      </w:tr>
      <w:tr>
        <w:trPr>
          <w:cantSplit/>
        </w:trPr>
        <w:tc>
          <w:tcPr>
            <w:tcW w:type="dxa" w:w="1247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1. Подготовка</w:t>
              <w:br/>
              <w:t>2027, I полугодие</w:t>
            </w:r>
          </w:p>
        </w:tc>
        <w:tc>
          <w:tcPr>
            <w:tcW w:type="dxa" w:w="2835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Подтверждение заказчиков, источников c0, якорных платежей, состава базового/платного слоя, источников данных и договорных условий.</w:t>
            </w:r>
          </w:p>
        </w:tc>
        <w:tc>
          <w:tcPr>
            <w:tcW w:type="dxa" w:w="23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Подтверждённые проектные требования, схема финансирования и договорная модель.</w:t>
            </w:r>
          </w:p>
        </w:tc>
        <w:tc>
          <w:tcPr>
            <w:tcW w:type="dxa" w:w="187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Заказчик, экономист, оператор</w:t>
            </w:r>
          </w:p>
        </w:tc>
        <w:tc>
          <w:tcPr>
            <w:tcW w:type="dxa" w:w="181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Подтверждение плательщиков и полномочий; готовность к закупке/пилоту.</w:t>
            </w:r>
          </w:p>
        </w:tc>
      </w:tr>
      <w:tr>
        <w:trPr>
          <w:cantSplit/>
        </w:trPr>
        <w:tc>
          <w:tcPr>
            <w:tcW w:type="dxa" w:w="1247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2. Пилоты FIRE/ENV</w:t>
              <w:br/>
              <w:t>2027, II полугодие – 2028, I полугодие</w:t>
            </w:r>
          </w:p>
        </w:tc>
        <w:tc>
          <w:tcPr>
            <w:tcW w:type="dxa" w:w="2835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Запуск FIRE и ENV в ограниченном контуре; проверка свежести, покрытия, журналов, доступа и рабочего процесса пользователей.</w:t>
            </w:r>
          </w:p>
        </w:tc>
        <w:tc>
          <w:tcPr>
            <w:tcW w:type="dxa" w:w="23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Проверенный публичный операторский контур и перечень корректировок.</w:t>
            </w:r>
          </w:p>
        </w:tc>
        <w:tc>
          <w:tcPr>
            <w:tcW w:type="dxa" w:w="187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Оператор, поставщики, региональная принимающая сторона</w:t>
            </w:r>
          </w:p>
        </w:tc>
        <w:tc>
          <w:tcPr>
            <w:tcW w:type="dxa" w:w="181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Доступ к данным, наземное подтверждение и согласованные SLA пилота.</w:t>
            </w:r>
          </w:p>
        </w:tc>
      </w:tr>
      <w:tr>
        <w:trPr>
          <w:cantSplit/>
        </w:trPr>
        <w:tc>
          <w:tcPr>
            <w:tcW w:type="dxa" w:w="1247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3. Обновление ядра</w:t>
              <w:br/>
              <w:t>2028, II полугодие</w:t>
            </w:r>
          </w:p>
        </w:tc>
        <w:tc>
          <w:tcPr>
            <w:tcW w:type="dxa" w:w="2835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Разбор пилотов, корректировка KPI, SLA, API, договорного шаблона и контрольного набора.</w:t>
            </w:r>
          </w:p>
        </w:tc>
        <w:tc>
          <w:tcPr>
            <w:tcW w:type="dxa" w:w="23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Версия типового ядра для подключения прикладных сервисов.</w:t>
            </w:r>
          </w:p>
        </w:tc>
        <w:tc>
          <w:tcPr>
            <w:tcW w:type="dxa" w:w="187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Заказчик и оператор</w:t>
            </w:r>
          </w:p>
        </w:tc>
        <w:tc>
          <w:tcPr>
            <w:tcW w:type="dxa" w:w="181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Результаты пилотов и зафиксированный перечень изменений.</w:t>
            </w:r>
          </w:p>
        </w:tc>
      </w:tr>
      <w:tr>
        <w:trPr>
          <w:cantSplit/>
        </w:trPr>
        <w:tc>
          <w:tcPr>
            <w:tcW w:type="dxa" w:w="1247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4. AGRI/TRANS и ГЧП</w:t>
              <w:br/>
              <w:t>2029–2030</w:t>
            </w:r>
          </w:p>
        </w:tc>
        <w:tc>
          <w:tcPr>
            <w:tcW w:type="dxa" w:w="2835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Подключение AGRI и TRANS; проверка агрегированного и платного доступа, коммерческих договоров и разделения данных; запуск ГЧП.</w:t>
            </w:r>
          </w:p>
        </w:tc>
        <w:tc>
          <w:tcPr>
            <w:tcW w:type="dxa" w:w="23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Рабочие прикладные слои и подтверждённая схема доступа/финансирования.</w:t>
            </w:r>
          </w:p>
        </w:tc>
        <w:tc>
          <w:tcPr>
            <w:tcW w:type="dxa" w:w="187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Оператор, частный партнёр, публичные якорные заказчики</w:t>
            </w:r>
          </w:p>
        </w:tc>
        <w:tc>
          <w:tcPr>
            <w:tcW w:type="dxa" w:w="181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Тарифные тесты, пользовательские пилоты и договорные условия ГЧП.</w:t>
            </w:r>
          </w:p>
        </w:tc>
      </w:tr>
      <w:tr>
        <w:trPr>
          <w:cantSplit/>
        </w:trPr>
        <w:tc>
          <w:tcPr>
            <w:tcW w:type="dxa" w:w="1247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5. Тиражирование</w:t>
              <w:br/>
              <w:t>2031–2033</w:t>
            </w:r>
          </w:p>
        </w:tc>
        <w:tc>
          <w:tcPr>
            <w:tcW w:type="dxa" w:w="2835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Подключение новых регионов через локальные настройки и последнюю версию типового ядра.</w:t>
            </w:r>
          </w:p>
        </w:tc>
        <w:tc>
          <w:tcPr>
            <w:tcW w:type="dxa" w:w="232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Повторяемый процесс масштабирования и актуальная база знаний.</w:t>
            </w:r>
          </w:p>
        </w:tc>
        <w:tc>
          <w:tcPr>
            <w:tcW w:type="dxa" w:w="1871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Межрегиональный заказчик / оператор</w:t>
            </w:r>
          </w:p>
        </w:tc>
        <w:tc>
          <w:tcPr>
            <w:tcW w:type="dxa" w:w="1814"/>
            <w:vAlign w:val="top"/>
            <w:tcMar>
              <w:top w:w="70" w:type="dxa"/>
              <w:start w:w="80" w:type="dxa"/>
              <w:bottom w:w="70" w:type="dxa"/>
              <w:end w:w="80" w:type="dxa"/>
            </w:tcMar>
          </w:tcPr>
          <w:p>
            <w:r>
              <w:t>Стабильные KPI, типовые SLA и договорные шаблоны.</w:t>
            </w:r>
          </w:p>
        </w:tc>
      </w:tr>
    </w:tbl>
    <w:p>
      <w:pPr>
        <w:spacing w:after="0"/>
      </w:pPr>
      <w:r>
        <w:t>Календарная дорожная карта принята как проектное допущение команды. Она связывает техническую готовность, подтверждение плательщиков, пилоты публичного ядра, запуск прикладного слоя и дальнейшее тиражирование. По каждому этапу ниже указаны результат, ответственный контур, зависимости и критерий перехода к следующему этапу.</w:t>
      </w:r>
    </w:p>
    <w:p>
      <w:r>
        <w:t>Целевые числовые значения KPI не задаются без базовой линии: они фиксируются в SLA после пилота. Для каждого сервиса определены измеримые показатели и источники проверки; полный перечень хранится в материалах участника №2. KPI эксплуатации не входят в vpub, cash или K_cash.</w:t>
      </w:r>
    </w:p>
    <w:p>
      <w:pPr>
        <w:pStyle w:val="Heading1"/>
      </w:pPr>
      <w:r>
        <w:t>12. Ограничения выводов и итог</w:t>
      </w:r>
    </w:p>
    <w:p>
      <w:r>
        <w:rPr>
          <w:rFonts w:ascii="Arial" w:hAnsi="Arial" w:eastAsia="Arial"/>
          <w:sz w:val="21"/>
        </w:rPr>
        <w:t>Рекомендация ограничена качеством исходных условий кейса и допущений команды. Числовые параметры синтетические. Конкретные ведомства-плательщики не подтверждены письмами или договорами; коммерческий спрос не подтверждён пилотами или ценовыми тестами. Модель не учитывает дисконтирование, налоги, стоимость капитала и помесячные кассовые разрывы. Поэтому расчёты обосновывают сравнение портфелей в рамках кейса, но не заменяют инвестиционную модель реального проекта.</w:t>
      </w:r>
    </w:p>
    <w:p>
      <w:r>
        <w:rPr>
          <w:rFonts w:ascii="Arial" w:hAnsi="Arial" w:eastAsia="Arial"/>
          <w:sz w:val="21"/>
        </w:rPr>
        <w:t>С учётом этих ограничений FINAL является защищаемым управленческим вариантом, но не математическим top-1 MCDA. Он занимает 3-е место среди 143 STRESS-допустимых комбинаций и находится на фронте Парето по vpub, c0 и K_cash. Команда сознательно принимает часть финансово-бюджетного преимущества режимов C ради более высокой общественной ценности и более широкого гибридного доступа в AGRI/TRANS. Портфель проходит BASE и STRESS, сохраняет два public core и покрывает OPEX модельным денежным потоком.</w:t>
      </w:r>
    </w:p>
    <w:p>
      <w:r/>
    </w:p>
    <w:p>
      <w:pPr>
        <w:pStyle w:val="Heading1"/>
        <w:spacing w:before="80" w:after="40"/>
      </w:pPr>
      <w:r>
        <w:rPr>
          <w:sz w:val="18"/>
        </w:rPr>
        <w:t>Использованные основания и источники</w:t>
      </w:r>
    </w:p>
    <w:p>
      <w:pPr>
        <w:pStyle w:val="ListBullet"/>
        <w:spacing w:after="0" w:before="0" w:line="240" w:lineRule="auto"/>
      </w:pPr>
      <w:r>
        <w:rPr>
          <w:rFonts w:ascii="Arial" w:hAnsi="Arial" w:eastAsia="Arial"/>
          <w:sz w:val="16"/>
        </w:rPr>
        <w:t>Постановка задачи «Космос как инфраструктура», КосмоХакатон 2026, с. 2–8.</w:t>
      </w:r>
    </w:p>
    <w:p>
      <w:pPr>
        <w:pStyle w:val="ListBullet"/>
        <w:spacing w:after="0" w:before="0" w:line="240" w:lineRule="auto"/>
      </w:pPr>
      <w:r>
        <w:rPr>
          <w:rFonts w:ascii="Arial" w:hAnsi="Arial" w:eastAsia="Arial"/>
          <w:sz w:val="16"/>
        </w:rPr>
        <w:t>Критерии оценки «Космос как инфраструктура», КосмоХакатон 2026, с. 2–8.</w:t>
      </w:r>
    </w:p>
    <w:p>
      <w:pPr>
        <w:pStyle w:val="ListBullet"/>
        <w:spacing w:after="0" w:before="0" w:line="240" w:lineRule="auto"/>
      </w:pPr>
      <w:r>
        <w:rPr>
          <w:rFonts w:ascii="Arial" w:hAnsi="Arial" w:eastAsia="Arial"/>
          <w:sz w:val="16"/>
        </w:rPr>
        <w:t>Материалы организаторов в cases/case02: lots.csv, access_modes.csv, case_config.json, case_core.py, стартовый notebook.</w:t>
      </w:r>
    </w:p>
    <w:p>
      <w:pPr>
        <w:pStyle w:val="ListBullet"/>
        <w:spacing w:after="0" w:before="0" w:line="240" w:lineRule="auto"/>
      </w:pPr>
      <w:r>
        <w:rPr>
          <w:rFonts w:ascii="Arial" w:hAnsi="Arial" w:eastAsia="Arial"/>
          <w:sz w:val="16"/>
        </w:rPr>
        <w:t>Результаты команды: results/base.json, results/stress.json, results/alternatives.csv, results/scores.csv, results/sensitivity.csv, results/ranking_full.csv, results/sensitivity_full.csv, results/repairs_base.csv, results/repairs_stress.csv, results/portfolio_detail.csv, results/portfolio_metrics.json, results/team_decision_config.json; входные решения — config/portfolio.json, config/alternatives.json, config/weights.json, config/assumptions.json, config/team.json.</w:t>
      </w:r>
    </w:p>
    <w:p>
      <w:pPr>
        <w:pStyle w:val="ListBullet"/>
        <w:spacing w:after="0" w:before="0" w:line="240" w:lineRule="auto"/>
      </w:pPr>
      <w:r>
        <w:t>Материалы команды по модели и реализации: docs/note/02-selection.md, docs/note/03-finance.md, docs/note/06-stress.md, docs/D-confirmations.md, docs/team/participant-2/README.md, service_cards_full.csv, source_register.md, app/config/why_final.json, docs/live-demo.md, docs/clean-run.md.</w:t>
      </w:r>
    </w:p>
    <w:p>
      <w:pPr>
        <w:pStyle w:val="ListBullet"/>
        <w:spacing w:after="0" w:before="0" w:line="240" w:lineRule="auto"/>
      </w:pPr>
      <w:r>
        <w:rPr>
          <w:rFonts w:ascii="Arial" w:hAnsi="Arial" w:eastAsia="Arial"/>
          <w:sz w:val="16"/>
        </w:rPr>
        <w:t>Внешние источники, использованные командой и перечисленные в source_register.md: Рослесхоз (ИСДМ-Рослесхоз), ESA по EO/Sentinel-2/InSAR, Росгидромет по «Арктике-М», 44-ФЗ, 223-ФЗ, 224-ФЗ, 115-ФЗ, 89-ФЗ, а также научные материалы по закупкам, ГЧП и общественным благам в космической экономике.</w:t>
      </w:r>
    </w:p>
    <w:sectPr w:rsidR="00FC693F" w:rsidRPr="0006063C" w:rsidSect="00034616">
      <w:footerReference w:type="default" r:id="rId9"/>
      <w:pgSz w:w="12240" w:h="15840"/>
      <w:pgMar w:top="964" w:right="1020" w:bottom="907" w:left="113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sz w:val="18"/>
      </w:rPr>
      <w:t xml:space="preserve">Стр. </w:t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">
    <w:name w:val="Small"/>
    <w:pPr>
      <w:spacing w:after="60" w:line="240" w:lineRule="auto"/>
    </w:pPr>
    <w:rPr>
      <w:rFonts w:ascii="Arial" w:hAnsi="Arial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