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rial" w:hAnsi="Arial" w:eastAsia="Arial"/>
          <w:b/>
          <w:sz w:val="36"/>
        </w:rPr>
        <w:t>УПРАВЛЕНЧЕСКАЯ ЗАПИСКА</w:t>
      </w:r>
    </w:p>
    <w:p>
      <w:pPr>
        <w:jc w:val="center"/>
      </w:pPr>
      <w:r>
        <w:rPr>
          <w:rFonts w:ascii="Arial" w:hAnsi="Arial" w:eastAsia="Arial"/>
          <w:b/>
          <w:sz w:val="30"/>
        </w:rPr>
        <w:t>Кейс 02 «Космос как инфраструктура»</w:t>
      </w:r>
    </w:p>
    <w:p>
      <w:pPr>
        <w:jc w:val="center"/>
      </w:pPr>
      <w:r>
        <w:rPr>
          <w:rFonts w:ascii="Arial" w:hAnsi="Arial" w:eastAsia="Arial"/>
          <w:sz w:val="24"/>
        </w:rPr>
        <w:t>Межрегиональный портфель космических сервисов общего пользования</w:t>
      </w:r>
    </w:p>
    <w:p/>
    <w:tbl>
      <w:tblPr>
        <w:tblStyle w:val="TableGrid"/>
        <w:tblW w:type="auto" w:w="0"/>
        <w:jc w:val="center"/>
        <w:tblLook w:firstColumn="1" w:firstRow="1" w:lastColumn="0" w:lastRow="0" w:noHBand="0" w:noVBand="1" w:val="04A0"/>
      </w:tblPr>
      <w:tblGrid>
        <w:gridCol w:w="10086"/>
      </w:tblGrid>
      <w:tr>
        <w:tc>
          <w:tcPr>
            <w:tcW w:type="dxa" w:w="10086"/>
            <w:shd w:fill="F2F2F2"/>
            <w:tcMar>
              <w:top w:w="100" w:type="dxa"/>
              <w:start w:w="120" w:type="dxa"/>
              <w:bottom w:w="100" w:type="dxa"/>
              <w:end w:w="120" w:type="dxa"/>
            </w:tcMar>
          </w:tcPr>
          <w:p>
            <w:r>
              <w:rPr>
                <w:rFonts w:ascii="Arial" w:hAnsi="Arial" w:eastAsia="Arial"/>
                <w:sz w:val="18"/>
              </w:rPr>
              <w:t>Итоговый портфель команды: FIRE-A + ENV-A + AGRI-B + TRANS-B.</w:t>
              <w:br/>
              <w:t>Расчётная версия кейса: 1.1. Состояние материалов команды: 12.09.2026.</w:t>
            </w:r>
          </w:p>
        </w:tc>
      </w:tr>
    </w:tbl>
    <w:p/>
    <w:p>
      <w:pPr>
        <w:spacing w:before="2000"/>
        <w:jc w:val="center"/>
      </w:pPr>
      <w:r>
        <w:rPr>
          <w:rFonts w:ascii="Arial" w:hAnsi="Arial" w:eastAsia="Arial"/>
          <w:sz w:val="22"/>
        </w:rPr>
        <w:t>КосмоХакатон 2026</w:t>
      </w:r>
    </w:p>
    <w:p>
      <w:pPr>
        <w:jc w:val="center"/>
      </w:pPr>
      <w:r>
        <w:rPr>
          <w:rFonts w:ascii="Arial" w:hAnsi="Arial" w:eastAsia="Arial"/>
          <w:sz w:val="20"/>
        </w:rPr>
        <w:t>12 сентября 2026 г.</w:t>
      </w:r>
    </w:p>
    <w:p>
      <w:r/>
    </w:p>
    <w:p>
      <w:pPr>
        <w:pStyle w:val="Heading1"/>
      </w:pPr>
      <w:r>
        <w:t>1. Управленческое решение</w:t>
      </w:r>
    </w:p>
    <w:p>
      <w:r>
        <w:rPr>
          <w:rFonts w:ascii="Arial" w:hAnsi="Arial" w:eastAsia="Arial"/>
          <w:sz w:val="21"/>
        </w:rPr>
        <w:t>Задача кейса — выбрать при ограниченном бюджете портфель космических сервисов, обосновать его экономику и порядок реализации, а затем проверить устойчивость решения при сокращении бюджета. Команда не разрабатывает сами космические сервисы: программный инструмент служит для расчёта портфеля, проверки ограничений и сравнения сценариев.</w:t>
      </w:r>
    </w:p>
    <w:p>
      <w:r>
        <w:rPr>
          <w:rFonts w:ascii="Arial" w:hAnsi="Arial" w:eastAsia="Arial"/>
          <w:sz w:val="21"/>
        </w:rPr>
        <w:t>В качестве итогового выбран портфель FIRE-A + ENV-A + AGRI-B + TRANS-B: мониторинг лесных пожаров в Сибири, экологический мониторинг Волго-Каспийского региона, аграрная аналитика для Юга и транспортный мониторинг для Центрального территориального архетипа. FIRE и ENV работают в режиме A и образуют два обязательных public core; AGRI и TRANS работают в режиме B, где сохраняется якорная публичная компонента и одновременно выше коммерческий денежный поток.</w:t>
      </w:r>
    </w:p>
    <w:p>
      <w:r>
        <w:rPr>
          <w:rFonts w:ascii="Arial" w:hAnsi="Arial" w:eastAsia="Arial"/>
          <w:sz w:val="21"/>
        </w:rPr>
        <w:t>В базовом сценарии стартовые затраты составляют 1 140 млн руб., ежегодный OPEX — 313 млн руб., модельные денежные поступления — 370,5 млн руб./год, общественная ценность — 1 289 млн руб./год по шкале кейса, K_cash — 1,1837. Портфель проходит все девять формализованных ограничений. В официальном STRESS лимит c0 снижается с 1 300 до 1 180 млн руб.; состав портфеля сохраняется, запас по c0 составляет 40 млн руб.</w:t>
      </w:r>
    </w:p>
    <w:p>
      <w:r>
        <w:rPr>
          <w:rFonts w:ascii="Arial" w:hAnsi="Arial" w:eastAsia="Arial"/>
          <w:sz w:val="21"/>
        </w:rPr>
        <w:t>Выбор сделан не по одному показателю. Команда использует weighted MCDA как инструмент поддержки решения, а не как автоматический выбор портфеля. Ranking строится по всем 143 комбинациям, которые проходят официальный STRESS; min-max нормализация выполняется на том же множестве. При финальных весах FINAL получает score 0,725 и занимает 3-е место из 143, но входит во фронт Парето по общественной ценности, c0 и K_cash. Итоговый выбор является управленческим: режимы B для AGRI и TRANS сохраняют более высокий общественный показатель и более широкий гибридный публично-коммерческий слой по сравнению с математическими лидерами на режимах C.</w:t>
      </w:r>
    </w:p>
    <w:tbl>
      <w:tblPr>
        <w:tblStyle w:val="TableGrid"/>
        <w:tblW w:type="auto" w:w="0"/>
        <w:jc w:val="center"/>
        <w:tblLook w:firstColumn="1" w:firstRow="1" w:lastColumn="0" w:lastRow="0" w:noHBand="0" w:noVBand="1" w:val="04A0"/>
      </w:tblPr>
      <w:tblGrid>
        <w:gridCol w:w="2521"/>
        <w:gridCol w:w="2521"/>
        <w:gridCol w:w="2521"/>
        <w:gridCol w:w="2521"/>
      </w:tblGrid>
      <w:tr>
        <w:trPr>
          <w:tblHeader w:val="true"/>
          <w:cantSplit/>
        </w:trPr>
        <w:tc>
          <w:tcPr>
            <w:tcW w:type="dxa" w:w="2381"/>
            <w:shd w:fill="D9D9D9"/>
            <w:vAlign w:val="center"/>
            <w:tcMar>
              <w:top w:w="70" w:type="dxa"/>
              <w:start w:w="80" w:type="dxa"/>
              <w:bottom w:w="70" w:type="dxa"/>
              <w:end w:w="80" w:type="dxa"/>
            </w:tcMar>
          </w:tcPr>
          <w:p>
            <w:pPr>
              <w:jc w:val="center"/>
            </w:pPr>
            <w:r>
              <w:rPr>
                <w:rFonts w:ascii="Arial" w:hAnsi="Arial" w:eastAsia="Arial"/>
                <w:b/>
                <w:sz w:val="17"/>
              </w:rPr>
              <w:t>Показатель</w:t>
            </w:r>
          </w:p>
        </w:tc>
        <w:tc>
          <w:tcPr>
            <w:tcW w:type="dxa" w:w="2551"/>
            <w:shd w:fill="D9D9D9"/>
            <w:vAlign w:val="center"/>
            <w:tcMar>
              <w:top w:w="70" w:type="dxa"/>
              <w:start w:w="80" w:type="dxa"/>
              <w:bottom w:w="70" w:type="dxa"/>
              <w:end w:w="80" w:type="dxa"/>
            </w:tcMar>
          </w:tcPr>
          <w:p>
            <w:pPr>
              <w:jc w:val="center"/>
            </w:pPr>
            <w:r>
              <w:rPr>
                <w:rFonts w:ascii="Arial" w:hAnsi="Arial" w:eastAsia="Arial"/>
                <w:b/>
                <w:sz w:val="17"/>
              </w:rPr>
              <w:t>BASE / факт</w:t>
            </w:r>
          </w:p>
        </w:tc>
        <w:tc>
          <w:tcPr>
            <w:tcW w:type="dxa" w:w="2041"/>
            <w:shd w:fill="D9D9D9"/>
            <w:vAlign w:val="center"/>
            <w:tcMar>
              <w:top w:w="70" w:type="dxa"/>
              <w:start w:w="80" w:type="dxa"/>
              <w:bottom w:w="70" w:type="dxa"/>
              <w:end w:w="80" w:type="dxa"/>
            </w:tcMar>
          </w:tcPr>
          <w:p>
            <w:pPr>
              <w:jc w:val="center"/>
            </w:pPr>
            <w:r>
              <w:rPr>
                <w:rFonts w:ascii="Arial" w:hAnsi="Arial" w:eastAsia="Arial"/>
                <w:b/>
                <w:sz w:val="17"/>
              </w:rPr>
              <w:t>Требование</w:t>
            </w:r>
          </w:p>
        </w:tc>
        <w:tc>
          <w:tcPr>
            <w:tcW w:type="dxa" w:w="1587"/>
            <w:shd w:fill="D9D9D9"/>
            <w:vAlign w:val="center"/>
            <w:tcMar>
              <w:top w:w="70" w:type="dxa"/>
              <w:start w:w="80" w:type="dxa"/>
              <w:bottom w:w="70" w:type="dxa"/>
              <w:end w:w="80" w:type="dxa"/>
            </w:tcMar>
          </w:tcPr>
          <w:p>
            <w:pPr>
              <w:jc w:val="center"/>
            </w:pPr>
            <w:r>
              <w:rPr>
                <w:rFonts w:ascii="Arial" w:hAnsi="Arial" w:eastAsia="Arial"/>
                <w:b/>
                <w:sz w:val="17"/>
              </w:rPr>
              <w:t>Запас</w:t>
            </w:r>
          </w:p>
        </w:tc>
      </w:tr>
      <w:tr>
        <w:trPr>
          <w:cantSplit/>
        </w:trPr>
        <w:tc>
          <w:tcPr>
            <w:tcW w:type="dxa" w:w="2381"/>
            <w:vAlign w:val="top"/>
            <w:tcMar>
              <w:top w:w="70" w:type="dxa"/>
              <w:start w:w="80" w:type="dxa"/>
              <w:bottom w:w="70" w:type="dxa"/>
              <w:end w:w="80" w:type="dxa"/>
            </w:tcMar>
          </w:tcPr>
          <w:p>
            <w:r>
              <w:rPr>
                <w:rFonts w:ascii="Arial" w:hAnsi="Arial" w:eastAsia="Arial"/>
                <w:sz w:val="17"/>
              </w:rPr>
              <w:t>c0</w:t>
            </w:r>
          </w:p>
        </w:tc>
        <w:tc>
          <w:tcPr>
            <w:tcW w:type="dxa" w:w="2551"/>
            <w:vAlign w:val="top"/>
            <w:tcMar>
              <w:top w:w="70" w:type="dxa"/>
              <w:start w:w="80" w:type="dxa"/>
              <w:bottom w:w="70" w:type="dxa"/>
              <w:end w:w="80" w:type="dxa"/>
            </w:tcMar>
          </w:tcPr>
          <w:p>
            <w:r>
              <w:rPr>
                <w:rFonts w:ascii="Arial" w:hAnsi="Arial" w:eastAsia="Arial"/>
                <w:sz w:val="17"/>
              </w:rPr>
              <w:t>1 140 млн руб.</w:t>
            </w:r>
          </w:p>
        </w:tc>
        <w:tc>
          <w:tcPr>
            <w:tcW w:type="dxa" w:w="2041"/>
            <w:vAlign w:val="top"/>
            <w:tcMar>
              <w:top w:w="70" w:type="dxa"/>
              <w:start w:w="80" w:type="dxa"/>
              <w:bottom w:w="70" w:type="dxa"/>
              <w:end w:w="80" w:type="dxa"/>
            </w:tcMar>
          </w:tcPr>
          <w:p>
            <w:r>
              <w:rPr>
                <w:rFonts w:ascii="Arial" w:hAnsi="Arial" w:eastAsia="Arial"/>
                <w:sz w:val="17"/>
              </w:rPr>
              <w:t>≤ 1 300</w:t>
            </w:r>
          </w:p>
        </w:tc>
        <w:tc>
          <w:tcPr>
            <w:tcW w:type="dxa" w:w="1587"/>
            <w:vAlign w:val="top"/>
            <w:tcMar>
              <w:top w:w="70" w:type="dxa"/>
              <w:start w:w="80" w:type="dxa"/>
              <w:bottom w:w="70" w:type="dxa"/>
              <w:end w:w="80" w:type="dxa"/>
            </w:tcMar>
          </w:tcPr>
          <w:p>
            <w:r>
              <w:rPr>
                <w:rFonts w:ascii="Arial" w:hAnsi="Arial" w:eastAsia="Arial"/>
                <w:sz w:val="17"/>
              </w:rPr>
              <w:t>160</w:t>
            </w:r>
          </w:p>
        </w:tc>
      </w:tr>
      <w:tr>
        <w:trPr>
          <w:cantSplit/>
        </w:trPr>
        <w:tc>
          <w:tcPr>
            <w:tcW w:type="dxa" w:w="2381"/>
            <w:vAlign w:val="top"/>
            <w:tcMar>
              <w:top w:w="70" w:type="dxa"/>
              <w:start w:w="80" w:type="dxa"/>
              <w:bottom w:w="70" w:type="dxa"/>
              <w:end w:w="80" w:type="dxa"/>
            </w:tcMar>
          </w:tcPr>
          <w:p>
            <w:r>
              <w:rPr>
                <w:rFonts w:ascii="Arial" w:hAnsi="Arial" w:eastAsia="Arial"/>
                <w:sz w:val="17"/>
              </w:rPr>
              <w:t>OPEX</w:t>
            </w:r>
          </w:p>
        </w:tc>
        <w:tc>
          <w:tcPr>
            <w:tcW w:type="dxa" w:w="2551"/>
            <w:vAlign w:val="top"/>
            <w:tcMar>
              <w:top w:w="70" w:type="dxa"/>
              <w:start w:w="80" w:type="dxa"/>
              <w:bottom w:w="70" w:type="dxa"/>
              <w:end w:w="80" w:type="dxa"/>
            </w:tcMar>
          </w:tcPr>
          <w:p>
            <w:r>
              <w:rPr>
                <w:rFonts w:ascii="Arial" w:hAnsi="Arial" w:eastAsia="Arial"/>
                <w:sz w:val="17"/>
              </w:rPr>
              <w:t>313 млн руб./год</w:t>
            </w:r>
          </w:p>
        </w:tc>
        <w:tc>
          <w:tcPr>
            <w:tcW w:type="dxa" w:w="2041"/>
            <w:vAlign w:val="top"/>
            <w:tcMar>
              <w:top w:w="70" w:type="dxa"/>
              <w:start w:w="80" w:type="dxa"/>
              <w:bottom w:w="70" w:type="dxa"/>
              <w:end w:w="80" w:type="dxa"/>
            </w:tcMar>
          </w:tcPr>
          <w:p>
            <w:r>
              <w:rPr>
                <w:rFonts w:ascii="Arial" w:hAnsi="Arial" w:eastAsia="Arial"/>
                <w:sz w:val="17"/>
              </w:rPr>
              <w:t>≤ 360</w:t>
            </w:r>
          </w:p>
        </w:tc>
        <w:tc>
          <w:tcPr>
            <w:tcW w:type="dxa" w:w="1587"/>
            <w:vAlign w:val="top"/>
            <w:tcMar>
              <w:top w:w="70" w:type="dxa"/>
              <w:start w:w="80" w:type="dxa"/>
              <w:bottom w:w="70" w:type="dxa"/>
              <w:end w:w="80" w:type="dxa"/>
            </w:tcMar>
          </w:tcPr>
          <w:p>
            <w:r>
              <w:rPr>
                <w:rFonts w:ascii="Arial" w:hAnsi="Arial" w:eastAsia="Arial"/>
                <w:sz w:val="17"/>
              </w:rPr>
              <w:t>47</w:t>
            </w:r>
          </w:p>
        </w:tc>
      </w:tr>
      <w:tr>
        <w:trPr>
          <w:cantSplit/>
        </w:trPr>
        <w:tc>
          <w:tcPr>
            <w:tcW w:type="dxa" w:w="2381"/>
            <w:vAlign w:val="top"/>
            <w:tcMar>
              <w:top w:w="70" w:type="dxa"/>
              <w:start w:w="80" w:type="dxa"/>
              <w:bottom w:w="70" w:type="dxa"/>
              <w:end w:w="80" w:type="dxa"/>
            </w:tcMar>
          </w:tcPr>
          <w:p>
            <w:r>
              <w:rPr>
                <w:rFonts w:ascii="Arial" w:hAnsi="Arial" w:eastAsia="Arial"/>
                <w:sz w:val="17"/>
              </w:rPr>
              <w:t>vpub</w:t>
            </w:r>
          </w:p>
        </w:tc>
        <w:tc>
          <w:tcPr>
            <w:tcW w:type="dxa" w:w="2551"/>
            <w:vAlign w:val="top"/>
            <w:tcMar>
              <w:top w:w="70" w:type="dxa"/>
              <w:start w:w="80" w:type="dxa"/>
              <w:bottom w:w="70" w:type="dxa"/>
              <w:end w:w="80" w:type="dxa"/>
            </w:tcMar>
          </w:tcPr>
          <w:p>
            <w:r>
              <w:rPr>
                <w:rFonts w:ascii="Arial" w:hAnsi="Arial" w:eastAsia="Arial"/>
                <w:sz w:val="17"/>
              </w:rPr>
              <w:t>1 289 млн руб./год</w:t>
            </w:r>
          </w:p>
        </w:tc>
        <w:tc>
          <w:tcPr>
            <w:tcW w:type="dxa" w:w="2041"/>
            <w:vAlign w:val="top"/>
            <w:tcMar>
              <w:top w:w="70" w:type="dxa"/>
              <w:start w:w="80" w:type="dxa"/>
              <w:bottom w:w="70" w:type="dxa"/>
              <w:end w:w="80" w:type="dxa"/>
            </w:tcMar>
          </w:tcPr>
          <w:p>
            <w:r>
              <w:rPr>
                <w:rFonts w:ascii="Arial" w:hAnsi="Arial" w:eastAsia="Arial"/>
                <w:sz w:val="17"/>
              </w:rPr>
              <w:t>≥ 1 000</w:t>
            </w:r>
          </w:p>
        </w:tc>
        <w:tc>
          <w:tcPr>
            <w:tcW w:type="dxa" w:w="1587"/>
            <w:vAlign w:val="top"/>
            <w:tcMar>
              <w:top w:w="70" w:type="dxa"/>
              <w:start w:w="80" w:type="dxa"/>
              <w:bottom w:w="70" w:type="dxa"/>
              <w:end w:w="80" w:type="dxa"/>
            </w:tcMar>
          </w:tcPr>
          <w:p>
            <w:r>
              <w:rPr>
                <w:rFonts w:ascii="Arial" w:hAnsi="Arial" w:eastAsia="Arial"/>
                <w:sz w:val="17"/>
              </w:rPr>
              <w:t>289</w:t>
            </w:r>
          </w:p>
        </w:tc>
      </w:tr>
      <w:tr>
        <w:trPr>
          <w:cantSplit/>
        </w:trPr>
        <w:tc>
          <w:tcPr>
            <w:tcW w:type="dxa" w:w="2381"/>
            <w:vAlign w:val="top"/>
            <w:tcMar>
              <w:top w:w="70" w:type="dxa"/>
              <w:start w:w="80" w:type="dxa"/>
              <w:bottom w:w="70" w:type="dxa"/>
              <w:end w:w="80" w:type="dxa"/>
            </w:tcMar>
          </w:tcPr>
          <w:p>
            <w:r>
              <w:rPr>
                <w:rFonts w:ascii="Arial" w:hAnsi="Arial" w:eastAsia="Arial"/>
                <w:sz w:val="17"/>
              </w:rPr>
              <w:t>K_cash</w:t>
            </w:r>
          </w:p>
        </w:tc>
        <w:tc>
          <w:tcPr>
            <w:tcW w:type="dxa" w:w="2551"/>
            <w:vAlign w:val="top"/>
            <w:tcMar>
              <w:top w:w="70" w:type="dxa"/>
              <w:start w:w="80" w:type="dxa"/>
              <w:bottom w:w="70" w:type="dxa"/>
              <w:end w:w="80" w:type="dxa"/>
            </w:tcMar>
          </w:tcPr>
          <w:p>
            <w:r>
              <w:rPr>
                <w:rFonts w:ascii="Arial" w:hAnsi="Arial" w:eastAsia="Arial"/>
                <w:sz w:val="17"/>
              </w:rPr>
              <w:t>1,1837</w:t>
            </w:r>
          </w:p>
        </w:tc>
        <w:tc>
          <w:tcPr>
            <w:tcW w:type="dxa" w:w="2041"/>
            <w:vAlign w:val="top"/>
            <w:tcMar>
              <w:top w:w="70" w:type="dxa"/>
              <w:start w:w="80" w:type="dxa"/>
              <w:bottom w:w="70" w:type="dxa"/>
              <w:end w:w="80" w:type="dxa"/>
            </w:tcMar>
          </w:tcPr>
          <w:p>
            <w:r>
              <w:rPr>
                <w:rFonts w:ascii="Arial" w:hAnsi="Arial" w:eastAsia="Arial"/>
                <w:sz w:val="17"/>
              </w:rPr>
              <w:t>≥ 0,6</w:t>
            </w:r>
          </w:p>
        </w:tc>
        <w:tc>
          <w:tcPr>
            <w:tcW w:type="dxa" w:w="1587"/>
            <w:vAlign w:val="top"/>
            <w:tcMar>
              <w:top w:w="70" w:type="dxa"/>
              <w:start w:w="80" w:type="dxa"/>
              <w:bottom w:w="70" w:type="dxa"/>
              <w:end w:w="80" w:type="dxa"/>
            </w:tcMar>
          </w:tcPr>
          <w:p>
            <w:r>
              <w:rPr>
                <w:rFonts w:ascii="Arial" w:hAnsi="Arial" w:eastAsia="Arial"/>
                <w:sz w:val="17"/>
              </w:rPr>
              <w:t>0,5837</w:t>
            </w:r>
          </w:p>
        </w:tc>
      </w:tr>
      <w:tr>
        <w:trPr>
          <w:cantSplit/>
        </w:trPr>
        <w:tc>
          <w:tcPr>
            <w:tcW w:type="dxa" w:w="2381"/>
            <w:vAlign w:val="top"/>
            <w:tcMar>
              <w:top w:w="70" w:type="dxa"/>
              <w:start w:w="80" w:type="dxa"/>
              <w:bottom w:w="70" w:type="dxa"/>
              <w:end w:w="80" w:type="dxa"/>
            </w:tcMar>
          </w:tcPr>
          <w:p>
            <w:r>
              <w:rPr>
                <w:rFonts w:ascii="Arial" w:hAnsi="Arial" w:eastAsia="Arial"/>
                <w:sz w:val="17"/>
              </w:rPr>
              <w:t>t_rep</w:t>
            </w:r>
          </w:p>
        </w:tc>
        <w:tc>
          <w:tcPr>
            <w:tcW w:type="dxa" w:w="2551"/>
            <w:vAlign w:val="top"/>
            <w:tcMar>
              <w:top w:w="70" w:type="dxa"/>
              <w:start w:w="80" w:type="dxa"/>
              <w:bottom w:w="70" w:type="dxa"/>
              <w:end w:w="80" w:type="dxa"/>
            </w:tcMar>
          </w:tcPr>
          <w:p>
            <w:r>
              <w:rPr>
                <w:rFonts w:ascii="Arial" w:hAnsi="Arial" w:eastAsia="Arial"/>
                <w:sz w:val="17"/>
              </w:rPr>
              <w:t>0,73</w:t>
            </w:r>
          </w:p>
        </w:tc>
        <w:tc>
          <w:tcPr>
            <w:tcW w:type="dxa" w:w="2041"/>
            <w:vAlign w:val="top"/>
            <w:tcMar>
              <w:top w:w="70" w:type="dxa"/>
              <w:start w:w="80" w:type="dxa"/>
              <w:bottom w:w="70" w:type="dxa"/>
              <w:end w:w="80" w:type="dxa"/>
            </w:tcMar>
          </w:tcPr>
          <w:p>
            <w:r>
              <w:rPr>
                <w:rFonts w:ascii="Arial" w:hAnsi="Arial" w:eastAsia="Arial"/>
                <w:sz w:val="17"/>
              </w:rPr>
              <w:t>≥ 0,63</w:t>
            </w:r>
          </w:p>
        </w:tc>
        <w:tc>
          <w:tcPr>
            <w:tcW w:type="dxa" w:w="1587"/>
            <w:vAlign w:val="top"/>
            <w:tcMar>
              <w:top w:w="70" w:type="dxa"/>
              <w:start w:w="80" w:type="dxa"/>
              <w:bottom w:w="70" w:type="dxa"/>
              <w:end w:w="80" w:type="dxa"/>
            </w:tcMar>
          </w:tcPr>
          <w:p>
            <w:r>
              <w:rPr>
                <w:rFonts w:ascii="Arial" w:hAnsi="Arial" w:eastAsia="Arial"/>
                <w:sz w:val="17"/>
              </w:rPr>
              <w:t>0,10</w:t>
            </w:r>
          </w:p>
        </w:tc>
      </w:tr>
      <w:tr>
        <w:trPr>
          <w:cantSplit/>
        </w:trPr>
        <w:tc>
          <w:tcPr>
            <w:tcW w:type="dxa" w:w="2381"/>
            <w:vAlign w:val="top"/>
            <w:tcMar>
              <w:top w:w="70" w:type="dxa"/>
              <w:start w:w="80" w:type="dxa"/>
              <w:bottom w:w="70" w:type="dxa"/>
              <w:end w:w="80" w:type="dxa"/>
            </w:tcMar>
          </w:tcPr>
          <w:p>
            <w:r>
              <w:rPr>
                <w:rFonts w:ascii="Arial" w:hAnsi="Arial" w:eastAsia="Arial"/>
                <w:sz w:val="17"/>
              </w:rPr>
              <w:t>Public core</w:t>
            </w:r>
          </w:p>
        </w:tc>
        <w:tc>
          <w:tcPr>
            <w:tcW w:type="dxa" w:w="2551"/>
            <w:vAlign w:val="top"/>
            <w:tcMar>
              <w:top w:w="70" w:type="dxa"/>
              <w:start w:w="80" w:type="dxa"/>
              <w:bottom w:w="70" w:type="dxa"/>
              <w:end w:w="80" w:type="dxa"/>
            </w:tcMar>
          </w:tcPr>
          <w:p>
            <w:r>
              <w:rPr>
                <w:rFonts w:ascii="Arial" w:hAnsi="Arial" w:eastAsia="Arial"/>
                <w:sz w:val="17"/>
              </w:rPr>
              <w:t>2</w:t>
            </w:r>
          </w:p>
        </w:tc>
        <w:tc>
          <w:tcPr>
            <w:tcW w:type="dxa" w:w="2041"/>
            <w:vAlign w:val="top"/>
            <w:tcMar>
              <w:top w:w="70" w:type="dxa"/>
              <w:start w:w="80" w:type="dxa"/>
              <w:bottom w:w="70" w:type="dxa"/>
              <w:end w:w="80" w:type="dxa"/>
            </w:tcMar>
          </w:tcPr>
          <w:p>
            <w:r>
              <w:rPr>
                <w:rFonts w:ascii="Arial" w:hAnsi="Arial" w:eastAsia="Arial"/>
                <w:sz w:val="17"/>
              </w:rPr>
              <w:t>≥ 2</w:t>
            </w:r>
          </w:p>
        </w:tc>
        <w:tc>
          <w:tcPr>
            <w:tcW w:type="dxa" w:w="1587"/>
            <w:vAlign w:val="top"/>
            <w:tcMar>
              <w:top w:w="70" w:type="dxa"/>
              <w:start w:w="80" w:type="dxa"/>
              <w:bottom w:w="70" w:type="dxa"/>
              <w:end w:w="80" w:type="dxa"/>
            </w:tcMar>
          </w:tcPr>
          <w:p>
            <w:r>
              <w:rPr>
                <w:rFonts w:ascii="Arial" w:hAnsi="Arial" w:eastAsia="Arial"/>
                <w:sz w:val="17"/>
              </w:rPr>
              <w:t>0</w:t>
            </w:r>
          </w:p>
        </w:tc>
      </w:tr>
    </w:tbl>
    <w:p>
      <w:pPr>
        <w:spacing w:after="0"/>
      </w:pPr>
    </w:p>
    <w:p>
      <w:pPr>
        <w:pStyle w:val="Heading1"/>
      </w:pPr>
      <w:r>
        <w:t>2. Исходная ситуация и потребности пользователей</w:t>
      </w:r>
    </w:p>
    <w:p>
      <w:r>
        <w:rPr>
          <w:rFonts w:ascii="Arial" w:hAnsi="Arial" w:eastAsia="Arial"/>
          <w:sz w:val="21"/>
        </w:rPr>
        <w:t>Исходные материалы кейса задают восемь сервисных лотов, их территориальные архетипы, технологические группы, базовые экономические параметры и режимы доступа A/B/C. Числа синтетические и используются как условия задачи; команда их не заменяет собственными оценками. Собственная работа команды начинается с интерпретации потребности, роли пользователя, схемы доступа, финансирования, рисков и механизма выбора портфеля.</w:t>
      </w:r>
    </w:p>
    <w:p>
      <w:r>
        <w:rPr>
          <w:rFonts w:ascii="Arial" w:hAnsi="Arial" w:eastAsia="Arial"/>
          <w:sz w:val="21"/>
        </w:rPr>
        <w:t>Общая логика выбранных сервисов — раннее получение аналитического сигнала и приоритизация проверки. Сервис не заменяет реагирование, инспекцию, ремонт или решение пользователя. Он сокращает время до управленческого действия и делает распределение ограниченных ресурсов более адресным. Поэтому общественный эффект отделён от денежного потока и не приписывается сервису автоматически.</w:t>
      </w:r>
    </w:p>
    <w:tbl>
      <w:tblPr>
        <w:tblStyle w:val="TableGrid"/>
        <w:tblW w:type="auto" w:w="0"/>
        <w:jc w:val="center"/>
        <w:tblLook w:firstColumn="1" w:firstRow="1" w:lastColumn="0" w:lastRow="0" w:noHBand="0" w:noVBand="1" w:val="04A0"/>
      </w:tblPr>
      <w:tblGrid>
        <w:gridCol w:w="2521"/>
        <w:gridCol w:w="2521"/>
        <w:gridCol w:w="2521"/>
        <w:gridCol w:w="2521"/>
      </w:tblGrid>
      <w:tr>
        <w:trPr>
          <w:tblHeader w:val="true"/>
          <w:cantSplit/>
        </w:trPr>
        <w:tc>
          <w:tcPr>
            <w:tcW w:type="dxa" w:w="1191"/>
            <w:shd w:fill="D9D9D9"/>
            <w:vAlign w:val="center"/>
            <w:tcMar>
              <w:top w:w="70" w:type="dxa"/>
              <w:start w:w="80" w:type="dxa"/>
              <w:bottom w:w="70" w:type="dxa"/>
              <w:end w:w="80" w:type="dxa"/>
            </w:tcMar>
          </w:tcPr>
          <w:p>
            <w:pPr>
              <w:jc w:val="center"/>
            </w:pPr>
            <w:r>
              <w:rPr>
                <w:rFonts w:ascii="Arial" w:hAnsi="Arial" w:eastAsia="Arial"/>
                <w:b/>
                <w:sz w:val="16"/>
              </w:rPr>
              <w:t>Лот</w:t>
            </w:r>
          </w:p>
        </w:tc>
        <w:tc>
          <w:tcPr>
            <w:tcW w:type="dxa" w:w="2891"/>
            <w:shd w:fill="D9D9D9"/>
            <w:vAlign w:val="center"/>
            <w:tcMar>
              <w:top w:w="70" w:type="dxa"/>
              <w:start w:w="80" w:type="dxa"/>
              <w:bottom w:w="70" w:type="dxa"/>
              <w:end w:w="80" w:type="dxa"/>
            </w:tcMar>
          </w:tcPr>
          <w:p>
            <w:pPr>
              <w:jc w:val="center"/>
            </w:pPr>
            <w:r>
              <w:rPr>
                <w:rFonts w:ascii="Arial" w:hAnsi="Arial" w:eastAsia="Arial"/>
                <w:b/>
                <w:sz w:val="16"/>
              </w:rPr>
              <w:t>Проблема и пользователь</w:t>
            </w:r>
          </w:p>
        </w:tc>
        <w:tc>
          <w:tcPr>
            <w:tcW w:type="dxa" w:w="2665"/>
            <w:shd w:fill="D9D9D9"/>
            <w:vAlign w:val="center"/>
            <w:tcMar>
              <w:top w:w="70" w:type="dxa"/>
              <w:start w:w="80" w:type="dxa"/>
              <w:bottom w:w="70" w:type="dxa"/>
              <w:end w:w="80" w:type="dxa"/>
            </w:tcMar>
          </w:tcPr>
          <w:p>
            <w:pPr>
              <w:jc w:val="center"/>
            </w:pPr>
            <w:r>
              <w:rPr>
                <w:rFonts w:ascii="Arial" w:hAnsi="Arial" w:eastAsia="Arial"/>
                <w:b/>
                <w:sz w:val="16"/>
              </w:rPr>
              <w:t>Действие с помощью сервиса</w:t>
            </w:r>
          </w:p>
        </w:tc>
        <w:tc>
          <w:tcPr>
            <w:tcW w:type="dxa" w:w="2268"/>
            <w:shd w:fill="D9D9D9"/>
            <w:vAlign w:val="center"/>
            <w:tcMar>
              <w:top w:w="70" w:type="dxa"/>
              <w:start w:w="80" w:type="dxa"/>
              <w:bottom w:w="70" w:type="dxa"/>
              <w:end w:w="80" w:type="dxa"/>
            </w:tcMar>
          </w:tcPr>
          <w:p>
            <w:pPr>
              <w:jc w:val="center"/>
            </w:pPr>
            <w:r>
              <w:rPr>
                <w:rFonts w:ascii="Arial" w:hAnsi="Arial" w:eastAsia="Arial"/>
                <w:b/>
                <w:sz w:val="16"/>
              </w:rPr>
              <w:t>Проверяемый результат</w:t>
            </w:r>
          </w:p>
        </w:tc>
      </w:tr>
      <w:tr>
        <w:trPr>
          <w:cantSplit/>
        </w:trPr>
        <w:tc>
          <w:tcPr>
            <w:tcW w:type="dxa" w:w="1191"/>
            <w:vAlign w:val="top"/>
            <w:tcMar>
              <w:top w:w="70" w:type="dxa"/>
              <w:start w:w="80" w:type="dxa"/>
              <w:bottom w:w="70" w:type="dxa"/>
              <w:end w:w="80" w:type="dxa"/>
            </w:tcMar>
          </w:tcPr>
          <w:p>
            <w:r>
              <w:rPr>
                <w:rFonts w:ascii="Arial" w:hAnsi="Arial" w:eastAsia="Arial"/>
                <w:sz w:val="16"/>
              </w:rPr>
              <w:t>FIRE-A</w:t>
            </w:r>
          </w:p>
        </w:tc>
        <w:tc>
          <w:tcPr>
            <w:tcW w:type="dxa" w:w="2891"/>
            <w:vAlign w:val="top"/>
            <w:tcMar>
              <w:top w:w="70" w:type="dxa"/>
              <w:start w:w="80" w:type="dxa"/>
              <w:bottom w:w="70" w:type="dxa"/>
              <w:end w:w="80" w:type="dxa"/>
            </w:tcMar>
          </w:tcPr>
          <w:p>
            <w:r>
              <w:rPr>
                <w:rFonts w:ascii="Arial" w:hAnsi="Arial" w:eastAsia="Arial"/>
                <w:sz w:val="16"/>
              </w:rPr>
              <w:t>Сибирь: большая территория и риск позднего обнаружения. Лесные и диспетчерские службы, службы ЧС.</w:t>
            </w:r>
          </w:p>
        </w:tc>
        <w:tc>
          <w:tcPr>
            <w:tcW w:type="dxa" w:w="2665"/>
            <w:vAlign w:val="top"/>
            <w:tcMar>
              <w:top w:w="70" w:type="dxa"/>
              <w:start w:w="80" w:type="dxa"/>
              <w:bottom w:w="70" w:type="dxa"/>
              <w:end w:w="80" w:type="dxa"/>
            </w:tcMar>
          </w:tcPr>
          <w:p>
            <w:r>
              <w:rPr>
                <w:rFonts w:ascii="Arial" w:hAnsi="Arial" w:eastAsia="Arial"/>
                <w:sz w:val="16"/>
              </w:rPr>
              <w:t>Проверить потенциальный очаг и назначить приоритет реагирования.</w:t>
            </w:r>
          </w:p>
        </w:tc>
        <w:tc>
          <w:tcPr>
            <w:tcW w:type="dxa" w:w="2268"/>
            <w:vAlign w:val="top"/>
            <w:tcMar>
              <w:top w:w="70" w:type="dxa"/>
              <w:start w:w="80" w:type="dxa"/>
              <w:bottom w:w="70" w:type="dxa"/>
              <w:end w:w="80" w:type="dxa"/>
            </w:tcMar>
          </w:tcPr>
          <w:p>
            <w:r>
              <w:t>Медианное время от сигнала до проверки (журнал сервиса/диспетчерской); доля подтверждённых сигналов (акты проверки).</w:t>
            </w:r>
          </w:p>
        </w:tc>
      </w:tr>
      <w:tr>
        <w:trPr>
          <w:cantSplit/>
        </w:trPr>
        <w:tc>
          <w:tcPr>
            <w:tcW w:type="dxa" w:w="1191"/>
            <w:vAlign w:val="top"/>
            <w:tcMar>
              <w:top w:w="70" w:type="dxa"/>
              <w:start w:w="80" w:type="dxa"/>
              <w:bottom w:w="70" w:type="dxa"/>
              <w:end w:w="80" w:type="dxa"/>
            </w:tcMar>
          </w:tcPr>
          <w:p>
            <w:r>
              <w:rPr>
                <w:rFonts w:ascii="Arial" w:hAnsi="Arial" w:eastAsia="Arial"/>
                <w:sz w:val="16"/>
              </w:rPr>
              <w:t>ENV-A</w:t>
            </w:r>
          </w:p>
        </w:tc>
        <w:tc>
          <w:tcPr>
            <w:tcW w:type="dxa" w:w="2891"/>
            <w:vAlign w:val="top"/>
            <w:tcMar>
              <w:top w:w="70" w:type="dxa"/>
              <w:start w:w="80" w:type="dxa"/>
              <w:bottom w:w="70" w:type="dxa"/>
              <w:end w:w="80" w:type="dxa"/>
            </w:tcMar>
          </w:tcPr>
          <w:p>
            <w:r>
              <w:rPr>
                <w:rFonts w:ascii="Arial" w:hAnsi="Arial" w:eastAsia="Arial"/>
                <w:sz w:val="16"/>
              </w:rPr>
              <w:t>Волго-Каспийский регион: большая территория контроля при ограниченном ресурсе инспекций. Природоохранные органы.</w:t>
            </w:r>
          </w:p>
        </w:tc>
        <w:tc>
          <w:tcPr>
            <w:tcW w:type="dxa" w:w="2665"/>
            <w:vAlign w:val="top"/>
            <w:tcMar>
              <w:top w:w="70" w:type="dxa"/>
              <w:start w:w="80" w:type="dxa"/>
              <w:bottom w:w="70" w:type="dxa"/>
              <w:end w:w="80" w:type="dxa"/>
            </w:tcMar>
          </w:tcPr>
          <w:p>
            <w:r>
              <w:rPr>
                <w:rFonts w:ascii="Arial" w:hAnsi="Arial" w:eastAsia="Arial"/>
                <w:sz w:val="16"/>
              </w:rPr>
              <w:t>Выделить зону риска и назначить наземную проверку.</w:t>
            </w:r>
          </w:p>
        </w:tc>
        <w:tc>
          <w:tcPr>
            <w:tcW w:type="dxa" w:w="2268"/>
            <w:vAlign w:val="top"/>
            <w:tcMar>
              <w:top w:w="70" w:type="dxa"/>
              <w:start w:w="80" w:type="dxa"/>
              <w:bottom w:w="70" w:type="dxa"/>
              <w:end w:w="80" w:type="dxa"/>
            </w:tcMar>
          </w:tcPr>
          <w:p>
            <w:r>
              <w:t>Время от аномалии до решения о проверке (журналы сервиса/инспекций); доля подтверждённых сигналов (акты проверок).</w:t>
            </w:r>
          </w:p>
        </w:tc>
      </w:tr>
      <w:tr>
        <w:trPr>
          <w:cantSplit/>
        </w:trPr>
        <w:tc>
          <w:tcPr>
            <w:tcW w:type="dxa" w:w="1191"/>
            <w:vAlign w:val="top"/>
            <w:tcMar>
              <w:top w:w="70" w:type="dxa"/>
              <w:start w:w="80" w:type="dxa"/>
              <w:bottom w:w="70" w:type="dxa"/>
              <w:end w:w="80" w:type="dxa"/>
            </w:tcMar>
          </w:tcPr>
          <w:p>
            <w:r>
              <w:rPr>
                <w:rFonts w:ascii="Arial" w:hAnsi="Arial" w:eastAsia="Arial"/>
                <w:sz w:val="16"/>
              </w:rPr>
              <w:t>AGRI-B</w:t>
            </w:r>
          </w:p>
        </w:tc>
        <w:tc>
          <w:tcPr>
            <w:tcW w:type="dxa" w:w="2891"/>
            <w:vAlign w:val="top"/>
            <w:tcMar>
              <w:top w:w="70" w:type="dxa"/>
              <w:start w:w="80" w:type="dxa"/>
              <w:bottom w:w="70" w:type="dxa"/>
              <w:end w:w="80" w:type="dxa"/>
            </w:tcMar>
          </w:tcPr>
          <w:p>
            <w:r>
              <w:rPr>
                <w:rFonts w:ascii="Arial" w:hAnsi="Arial" w:eastAsia="Arial"/>
                <w:sz w:val="16"/>
              </w:rPr>
              <w:t>Юг: неоднородное состояние полей и высокая цена позднего обнаружения отклонений. Хозяйства и органы АПК.</w:t>
            </w:r>
          </w:p>
        </w:tc>
        <w:tc>
          <w:tcPr>
            <w:tcW w:type="dxa" w:w="2665"/>
            <w:vAlign w:val="top"/>
            <w:tcMar>
              <w:top w:w="70" w:type="dxa"/>
              <w:start w:w="80" w:type="dxa"/>
              <w:bottom w:w="70" w:type="dxa"/>
              <w:end w:w="80" w:type="dxa"/>
            </w:tcMar>
          </w:tcPr>
          <w:p>
            <w:r>
              <w:rPr>
                <w:rFonts w:ascii="Arial" w:hAnsi="Arial" w:eastAsia="Arial"/>
                <w:sz w:val="16"/>
              </w:rPr>
              <w:t>Выбрать участок для обследования или обработки.</w:t>
            </w:r>
          </w:p>
        </w:tc>
        <w:tc>
          <w:tcPr>
            <w:tcW w:type="dxa" w:w="2268"/>
            <w:vAlign w:val="top"/>
            <w:tcMar>
              <w:top w:w="70" w:type="dxa"/>
              <w:start w:w="80" w:type="dxa"/>
              <w:bottom w:w="70" w:type="dxa"/>
              <w:end w:w="80" w:type="dxa"/>
            </w:tcMar>
          </w:tcPr>
          <w:p>
            <w:r>
              <w:t>Доля подключённой площади с актуальными данными (реестр участков/каталог наблюдений); активные организации-пользователи (система доступа/договоры).</w:t>
            </w:r>
          </w:p>
        </w:tc>
      </w:tr>
      <w:tr>
        <w:trPr>
          <w:cantSplit/>
        </w:trPr>
        <w:tc>
          <w:tcPr>
            <w:tcW w:type="dxa" w:w="1191"/>
            <w:vAlign w:val="top"/>
            <w:tcMar>
              <w:top w:w="70" w:type="dxa"/>
              <w:start w:w="80" w:type="dxa"/>
              <w:bottom w:w="70" w:type="dxa"/>
              <w:end w:w="80" w:type="dxa"/>
            </w:tcMar>
          </w:tcPr>
          <w:p>
            <w:r>
              <w:rPr>
                <w:rFonts w:ascii="Arial" w:hAnsi="Arial" w:eastAsia="Arial"/>
                <w:sz w:val="16"/>
              </w:rPr>
              <w:t>TRANS-B</w:t>
            </w:r>
          </w:p>
        </w:tc>
        <w:tc>
          <w:tcPr>
            <w:tcW w:type="dxa" w:w="2891"/>
            <w:vAlign w:val="top"/>
            <w:tcMar>
              <w:top w:w="70" w:type="dxa"/>
              <w:start w:w="80" w:type="dxa"/>
              <w:bottom w:w="70" w:type="dxa"/>
              <w:end w:w="80" w:type="dxa"/>
            </w:tcMar>
          </w:tcPr>
          <w:p>
            <w:r>
              <w:rPr>
                <w:rFonts w:ascii="Arial" w:hAnsi="Arial" w:eastAsia="Arial"/>
                <w:sz w:val="16"/>
              </w:rPr>
              <w:t>Центр: большое число маршрутов и объектов, разрозненные данные. Транспортные органы и операторы.</w:t>
            </w:r>
          </w:p>
        </w:tc>
        <w:tc>
          <w:tcPr>
            <w:tcW w:type="dxa" w:w="2665"/>
            <w:vAlign w:val="top"/>
            <w:tcMar>
              <w:top w:w="70" w:type="dxa"/>
              <w:start w:w="80" w:type="dxa"/>
              <w:bottom w:w="70" w:type="dxa"/>
              <w:end w:w="80" w:type="dxa"/>
            </w:tcMar>
          </w:tcPr>
          <w:p>
            <w:r>
              <w:rPr>
                <w:rFonts w:ascii="Arial" w:hAnsi="Arial" w:eastAsia="Arial"/>
                <w:sz w:val="16"/>
              </w:rPr>
              <w:t>Назначить проверку объекта или изменить план эксплуатации.</w:t>
            </w:r>
          </w:p>
        </w:tc>
        <w:tc>
          <w:tcPr>
            <w:tcW w:type="dxa" w:w="2268"/>
            <w:vAlign w:val="top"/>
            <w:tcMar>
              <w:top w:w="70" w:type="dxa"/>
              <w:start w:w="80" w:type="dxa"/>
              <w:bottom w:w="70" w:type="dxa"/>
              <w:end w:w="80" w:type="dxa"/>
            </w:tcMar>
          </w:tcPr>
          <w:p>
            <w:r>
              <w:t>Доля подключённых маршрутов и объектов (реестр объектов); время от сигнала до решения оператора (журнал действий).</w:t>
            </w:r>
          </w:p>
        </w:tc>
      </w:tr>
    </w:tbl>
    <w:p>
      <w:pPr>
        <w:spacing w:after="0"/>
      </w:pPr>
    </w:p>
    <w:p>
      <w:r>
        <w:rPr>
          <w:rFonts w:ascii="Arial" w:hAnsi="Arial" w:eastAsia="Arial"/>
          <w:sz w:val="21"/>
        </w:rPr>
        <w:t xml:space="preserve">Отраслевые основания по выбранным и отклонённым сервисам. FIRE: Маглинец и др. (2024) показывают автоматическое обнаружение лесных пожаров по данным «Арктики-М» свёрточной нейросетевой моделью с точностью 98 % на данных 2024 года; Долматов и др. (2023) оценивают ежегодный ущерб от лесных пожаров в России более чем в 11 млрд руб. и отмечают, что сотовая связь доступна не далее 30–50 км от крупных населённых пунктов, поэтому космический мониторинг и автономные каналы связи дополняют друг друга. ENV и оценка общественной пользы: Virapongse и др. (2020) формулируют десять правил повышения общественной ценности наблюдений Земли и показывают, что ценность возникает не у данных как таковых, а в цепочке до решения пользователя; это основание для того, чтобы vpub и cash в записке не складывались. AGRI: Sishodia и др. (2020) обобщают применение ДЗЗ в точном земледелии как способ оптимизировать вносимые ресурсы. TRANS: Kyriou и др. (2023) обобщают подходы ДЗЗ к мониторингу дорог, железных дорог, мостов, плотин и зданий; Нощенко и Пережогин (2010) описывают методы SAR, InSAR и D-InSAR для оценки деформаций земной поверхности. Отклонённые кандидаты: Munawar и др. (2022) показывают, что оптические данные для прогноза паводков сильно зависят от облачности, тумана и дождя, тогда как радарные данные сохраняют наблюдаемость (FLOOD); Wang и др. (2022) обобщают ключевые технологии контроля космической обстановки (SSA). Рыночный контекст: Кравченко (2024) отмечает недостаточное законодательное сопровождение рынка данных ДЗЗ в России и потребность в нормах, гарантирующих достоверность и неизменность данных.</w:t>
      </w:r>
    </w:p>
    <w:tbl>
      <w:tblPr>
        <w:tblStyle w:val="TableGrid"/>
        <w:tblW w:type="auto" w:w="0"/>
        <w:jc w:val="center"/>
        <w:tblLook w:firstColumn="1" w:firstRow="1" w:lastColumn="0" w:lastRow="0" w:noHBand="0" w:noVBand="1" w:val="04A0"/>
      </w:tblPr>
      <w:tblGrid>
        <w:gridCol w:w="10086"/>
      </w:tblGrid>
      <w:tr>
        <w:tc>
          <w:tcPr>
            <w:tcW w:type="dxa" w:w="10086"/>
            <w:shd w:fill="F2F2F2"/>
            <w:tcMar>
              <w:top w:w="100" w:type="dxa"/>
              <w:start w:w="120" w:type="dxa"/>
              <w:bottom w:w="100" w:type="dxa"/>
              <w:end w:w="120" w:type="dxa"/>
            </w:tcMar>
          </w:tcPr>
          <w:p>
            <w:r>
              <w:rPr>
                <w:rFonts w:ascii="Arial" w:hAnsi="Arial" w:eastAsia="Arial"/>
                <w:sz w:val="18"/>
              </w:rPr>
              <w:t>Предполагаемые публичные плательщики (МЧС, Минприроды, Минсельхоз, Росавтодор для дорожной части TRANS) являются гипотезами команды и результатом консультации с трекером, а не подтверждёнными заказчиками. В документе они не рассматриваются как заключённые договоры.</w:t>
            </w:r>
          </w:p>
        </w:tc>
      </w:tr>
    </w:tbl>
    <w:p>
      <w:pPr>
        <w:pStyle w:val="Heading1"/>
      </w:pPr>
      <w:r>
        <w:t>3. Экономико-математическая модель</w:t>
      </w:r>
    </w:p>
    <w:p>
      <w:pPr>
        <w:pStyle w:val="Heading2"/>
      </w:pPr>
      <w:r>
        <w:t>3.1. Исходные данные и расчётный контур</w:t>
      </w:r>
    </w:p>
    <w:p>
      <w:pPr/>
      <w:r>
        <w:t>Расчёт использует неизменённые файлы организаторов: data/lots.csv, data/access_modes.csv и config/case_config.json. Единственный источник формул и девяти формальных проверок — src/kosmo, сверенный с case_core.py на всех 5 670 комбинациях; исходные файлы защищены контрольными хэшами. app/backend является тонким слоем и собственных формул не содержит; показатель «операционный баланс» также передаётся из метрики движка, а не пересчитывается на фронтенде. Для многопоточного HTTP-сервера payload строится на копиях записей, чтобы параллельные запросы с разными настройками S2-фильтра не меняли общий кэш. Регрессионный тест закрывает этот сценарий. Отдельный clean-run из свежего клона подтвердил 383 теста (346 движка + 37 app/tests), запуск CLI и сервера, а также совпадение ключевых показателей FINAL между интерфейсом, CLI и results/. Выгрузка results/ делается только из командной строки (python -m kosmo export или python app/build.py --export) одной функцией export_bundle; интерфейс results/ не пишет; произвольные комбинации из конструктора выгружаются отдельно и не затирают результаты FINAL. Интерфейс показывает лимит c0 активного сценария, все девять ограничений с фактом, порогом и запасом, а исследовательский robustness-скрипт использует тот же kosmo-backed расчётный контур. Дополнительно интерфейс проверен на адаптивность на ширинах 1440, 1024, 768 и 400 px: на всех 15 вкладках отсутствует горизонтальная прокрутка страницы; широкие таблицы прокручиваются внутри карточек. Десктопные контрольные скриншоты при этом не изменились.</w:t>
      </w:r>
    </w:p>
    <w:p>
      <w:r>
        <w:rPr>
          <w:rFonts w:ascii="Arial" w:hAnsi="Arial" w:eastAsia="Arial"/>
          <w:sz w:val="21"/>
        </w:rPr>
        <w:t>По каждому выбранному лоту базовые параметры умножаются на коэффициенты выбранного режима. Итоговые денежные поступления складываются из якорной и коммерческой компонент. Формулы:</w:t>
      </w:r>
    </w:p>
    <w:tbl>
      <w:tblPr>
        <w:tblStyle w:val="TableGrid"/>
        <w:tblW w:type="auto" w:w="0"/>
        <w:jc w:val="center"/>
        <w:tblLook w:firstColumn="1" w:firstRow="1" w:lastColumn="0" w:lastRow="0" w:noHBand="0" w:noVBand="1" w:val="04A0"/>
      </w:tblPr>
      <w:tblGrid>
        <w:gridCol w:w="10086"/>
      </w:tblGrid>
      <w:tr>
        <w:tc>
          <w:tcPr>
            <w:tcW w:type="dxa" w:w="10086"/>
            <w:shd w:fill="F2F2F2"/>
            <w:tcMar>
              <w:top w:w="100" w:type="dxa"/>
              <w:start w:w="120" w:type="dxa"/>
              <w:bottom w:w="100" w:type="dxa"/>
              <w:end w:w="120" w:type="dxa"/>
            </w:tcMar>
          </w:tcPr>
          <w:p>
            <w:r>
              <w:rPr>
                <w:rFonts w:ascii="Arial" w:hAnsi="Arial" w:eastAsia="Arial"/>
                <w:sz w:val="18"/>
              </w:rPr>
              <w:t>c0 = c0_base × k_c0</w:t>
              <w:br/>
              <w:t>OPEX = OPEX_base × k_opex</w:t>
              <w:br/>
              <w:t>vpub = vpub_base × k_vpub</w:t>
              <w:br/>
              <w:t>cash = anchor_cash_base × k_anchor + commercial_cash_base × k_commercial</w:t>
              <w:br/>
              <w:t>opex_gap = OPEX − cash</w:t>
              <w:br/>
              <w:t>K_cash = cash_portfolio / OPEX_portfolio</w:t>
            </w:r>
          </w:p>
        </w:tc>
      </w:tr>
    </w:tbl>
    <w:p>
      <w:r>
        <w:rPr>
          <w:rFonts w:ascii="Arial" w:hAnsi="Arial" w:eastAsia="Arial"/>
          <w:sz w:val="21"/>
        </w:rPr>
        <w:t>Для портфеля c0, OPEX, vpub и cash суммируются. t_rep, readiness, resilience и scale рассчитываются как средние по четырём лотам. Отдельно считаются число территориальных архетипов среди нефедеральных лотов, число технологических групп и число лотов с public_core=true.</w:t>
      </w:r>
    </w:p>
    <w:p>
      <w:pPr>
        <w:pStyle w:val="Heading2"/>
      </w:pPr>
      <w:r>
        <w:t>3.2. Ограничения кейса</w:t>
      </w:r>
    </w:p>
    <w:tbl>
      <w:tblPr>
        <w:tblStyle w:val="TableGrid"/>
        <w:tblW w:type="auto" w:w="0"/>
        <w:jc w:val="center"/>
        <w:tblLook w:firstColumn="1" w:firstRow="1" w:lastColumn="0" w:lastRow="0" w:noHBand="0" w:noVBand="1" w:val="04A0"/>
      </w:tblPr>
      <w:tblGrid>
        <w:gridCol w:w="5043"/>
        <w:gridCol w:w="5043"/>
      </w:tblGrid>
      <w:tr>
        <w:trPr>
          <w:tblHeader w:val="true"/>
          <w:cantSplit/>
        </w:trPr>
        <w:tc>
          <w:tcPr>
            <w:tcW w:type="dxa" w:w="3402"/>
            <w:shd w:fill="D9D9D9"/>
            <w:vAlign w:val="center"/>
            <w:tcMar>
              <w:top w:w="70" w:type="dxa"/>
              <w:start w:w="80" w:type="dxa"/>
              <w:bottom w:w="70" w:type="dxa"/>
              <w:end w:w="80" w:type="dxa"/>
            </w:tcMar>
          </w:tcPr>
          <w:p>
            <w:pPr>
              <w:jc w:val="center"/>
            </w:pPr>
            <w:r>
              <w:rPr>
                <w:rFonts w:ascii="Arial" w:hAnsi="Arial" w:eastAsia="Arial"/>
                <w:b/>
                <w:sz w:val="17"/>
              </w:rPr>
              <w:t>Ограничение</w:t>
            </w:r>
          </w:p>
        </w:tc>
        <w:tc>
          <w:tcPr>
            <w:tcW w:type="dxa" w:w="5386"/>
            <w:shd w:fill="D9D9D9"/>
            <w:vAlign w:val="center"/>
            <w:tcMar>
              <w:top w:w="70" w:type="dxa"/>
              <w:start w:w="80" w:type="dxa"/>
              <w:bottom w:w="70" w:type="dxa"/>
              <w:end w:w="80" w:type="dxa"/>
            </w:tcMar>
          </w:tcPr>
          <w:p>
            <w:pPr>
              <w:jc w:val="center"/>
            </w:pPr>
            <w:r>
              <w:rPr>
                <w:rFonts w:ascii="Arial" w:hAnsi="Arial" w:eastAsia="Arial"/>
                <w:b/>
                <w:sz w:val="17"/>
              </w:rPr>
              <w:t>Условие</w:t>
            </w:r>
          </w:p>
        </w:tc>
      </w:tr>
      <w:tr>
        <w:trPr>
          <w:cantSplit/>
        </w:trPr>
        <w:tc>
          <w:tcPr>
            <w:tcW w:type="dxa" w:w="3402"/>
            <w:vAlign w:val="top"/>
            <w:tcMar>
              <w:top w:w="70" w:type="dxa"/>
              <w:start w:w="80" w:type="dxa"/>
              <w:bottom w:w="70" w:type="dxa"/>
              <w:end w:w="80" w:type="dxa"/>
            </w:tcMar>
          </w:tcPr>
          <w:p>
            <w:r>
              <w:rPr>
                <w:rFonts w:ascii="Arial" w:hAnsi="Arial" w:eastAsia="Arial"/>
                <w:sz w:val="17"/>
              </w:rPr>
              <w:t>Состав</w:t>
            </w:r>
          </w:p>
        </w:tc>
        <w:tc>
          <w:tcPr>
            <w:tcW w:type="dxa" w:w="5386"/>
            <w:vAlign w:val="top"/>
            <w:tcMar>
              <w:top w:w="70" w:type="dxa"/>
              <w:start w:w="80" w:type="dxa"/>
              <w:bottom w:w="70" w:type="dxa"/>
              <w:end w:w="80" w:type="dxa"/>
            </w:tcMar>
          </w:tcPr>
          <w:p>
            <w:r>
              <w:rPr>
                <w:rFonts w:ascii="Arial" w:hAnsi="Arial" w:eastAsia="Arial"/>
                <w:sz w:val="17"/>
              </w:rPr>
              <w:t>ровно 4 уникальных лота</w:t>
            </w:r>
          </w:p>
        </w:tc>
      </w:tr>
      <w:tr>
        <w:trPr>
          <w:cantSplit/>
        </w:trPr>
        <w:tc>
          <w:tcPr>
            <w:tcW w:type="dxa" w:w="3402"/>
            <w:vAlign w:val="top"/>
            <w:tcMar>
              <w:top w:w="70" w:type="dxa"/>
              <w:start w:w="80" w:type="dxa"/>
              <w:bottom w:w="70" w:type="dxa"/>
              <w:end w:w="80" w:type="dxa"/>
            </w:tcMar>
          </w:tcPr>
          <w:p>
            <w:r>
              <w:rPr>
                <w:rFonts w:ascii="Arial" w:hAnsi="Arial" w:eastAsia="Arial"/>
                <w:sz w:val="17"/>
              </w:rPr>
              <w:t>Территории</w:t>
            </w:r>
          </w:p>
        </w:tc>
        <w:tc>
          <w:tcPr>
            <w:tcW w:type="dxa" w:w="5386"/>
            <w:vAlign w:val="top"/>
            <w:tcMar>
              <w:top w:w="70" w:type="dxa"/>
              <w:start w:w="80" w:type="dxa"/>
              <w:bottom w:w="70" w:type="dxa"/>
              <w:end w:w="80" w:type="dxa"/>
            </w:tcMar>
          </w:tcPr>
          <w:p>
            <w:r>
              <w:rPr>
                <w:rFonts w:ascii="Arial" w:hAnsi="Arial" w:eastAsia="Arial"/>
                <w:sz w:val="17"/>
              </w:rPr>
              <w:t>не менее 3 территориальных архетипов</w:t>
            </w:r>
          </w:p>
        </w:tc>
      </w:tr>
      <w:tr>
        <w:trPr>
          <w:cantSplit/>
        </w:trPr>
        <w:tc>
          <w:tcPr>
            <w:tcW w:type="dxa" w:w="3402"/>
            <w:vAlign w:val="top"/>
            <w:tcMar>
              <w:top w:w="70" w:type="dxa"/>
              <w:start w:w="80" w:type="dxa"/>
              <w:bottom w:w="70" w:type="dxa"/>
              <w:end w:w="80" w:type="dxa"/>
            </w:tcMar>
          </w:tcPr>
          <w:p>
            <w:r>
              <w:rPr>
                <w:rFonts w:ascii="Arial" w:hAnsi="Arial" w:eastAsia="Arial"/>
                <w:sz w:val="17"/>
              </w:rPr>
              <w:t>Технологические группы</w:t>
            </w:r>
          </w:p>
        </w:tc>
        <w:tc>
          <w:tcPr>
            <w:tcW w:type="dxa" w:w="5386"/>
            <w:vAlign w:val="top"/>
            <w:tcMar>
              <w:top w:w="70" w:type="dxa"/>
              <w:start w:w="80" w:type="dxa"/>
              <w:bottom w:w="70" w:type="dxa"/>
              <w:end w:w="80" w:type="dxa"/>
            </w:tcMar>
          </w:tcPr>
          <w:p>
            <w:r>
              <w:rPr>
                <w:rFonts w:ascii="Arial" w:hAnsi="Arial" w:eastAsia="Arial"/>
                <w:sz w:val="17"/>
              </w:rPr>
              <w:t>не менее 2</w:t>
            </w:r>
          </w:p>
        </w:tc>
      </w:tr>
      <w:tr>
        <w:trPr>
          <w:cantSplit/>
        </w:trPr>
        <w:tc>
          <w:tcPr>
            <w:tcW w:type="dxa" w:w="3402"/>
            <w:vAlign w:val="top"/>
            <w:tcMar>
              <w:top w:w="70" w:type="dxa"/>
              <w:start w:w="80" w:type="dxa"/>
              <w:bottom w:w="70" w:type="dxa"/>
              <w:end w:w="80" w:type="dxa"/>
            </w:tcMar>
          </w:tcPr>
          <w:p>
            <w:r>
              <w:rPr>
                <w:rFonts w:ascii="Arial" w:hAnsi="Arial" w:eastAsia="Arial"/>
                <w:sz w:val="17"/>
              </w:rPr>
              <w:t>Public core</w:t>
            </w:r>
          </w:p>
        </w:tc>
        <w:tc>
          <w:tcPr>
            <w:tcW w:type="dxa" w:w="5386"/>
            <w:vAlign w:val="top"/>
            <w:tcMar>
              <w:top w:w="70" w:type="dxa"/>
              <w:start w:w="80" w:type="dxa"/>
              <w:bottom w:w="70" w:type="dxa"/>
              <w:end w:w="80" w:type="dxa"/>
            </w:tcMar>
          </w:tcPr>
          <w:p>
            <w:r>
              <w:rPr>
                <w:rFonts w:ascii="Arial" w:hAnsi="Arial" w:eastAsia="Arial"/>
                <w:sz w:val="17"/>
              </w:rPr>
              <w:t>не менее 2 лотов</w:t>
            </w:r>
          </w:p>
        </w:tc>
      </w:tr>
      <w:tr>
        <w:trPr>
          <w:cantSplit/>
        </w:trPr>
        <w:tc>
          <w:tcPr>
            <w:tcW w:type="dxa" w:w="3402"/>
            <w:vAlign w:val="top"/>
            <w:tcMar>
              <w:top w:w="70" w:type="dxa"/>
              <w:start w:w="80" w:type="dxa"/>
              <w:bottom w:w="70" w:type="dxa"/>
              <w:end w:w="80" w:type="dxa"/>
            </w:tcMar>
          </w:tcPr>
          <w:p>
            <w:r>
              <w:rPr>
                <w:rFonts w:ascii="Arial" w:hAnsi="Arial" w:eastAsia="Arial"/>
                <w:sz w:val="17"/>
              </w:rPr>
              <w:t>c0 BASE</w:t>
            </w:r>
          </w:p>
        </w:tc>
        <w:tc>
          <w:tcPr>
            <w:tcW w:type="dxa" w:w="5386"/>
            <w:vAlign w:val="top"/>
            <w:tcMar>
              <w:top w:w="70" w:type="dxa"/>
              <w:start w:w="80" w:type="dxa"/>
              <w:bottom w:w="70" w:type="dxa"/>
              <w:end w:w="80" w:type="dxa"/>
            </w:tcMar>
          </w:tcPr>
          <w:p>
            <w:r>
              <w:rPr>
                <w:rFonts w:ascii="Arial" w:hAnsi="Arial" w:eastAsia="Arial"/>
                <w:sz w:val="17"/>
              </w:rPr>
              <w:t>не более 1 300 млн руб.</w:t>
            </w:r>
          </w:p>
        </w:tc>
      </w:tr>
      <w:tr>
        <w:trPr>
          <w:cantSplit/>
        </w:trPr>
        <w:tc>
          <w:tcPr>
            <w:tcW w:type="dxa" w:w="3402"/>
            <w:vAlign w:val="top"/>
            <w:tcMar>
              <w:top w:w="70" w:type="dxa"/>
              <w:start w:w="80" w:type="dxa"/>
              <w:bottom w:w="70" w:type="dxa"/>
              <w:end w:w="80" w:type="dxa"/>
            </w:tcMar>
          </w:tcPr>
          <w:p>
            <w:r>
              <w:rPr>
                <w:rFonts w:ascii="Arial" w:hAnsi="Arial" w:eastAsia="Arial"/>
                <w:sz w:val="17"/>
              </w:rPr>
              <w:t>c0 STRESS</w:t>
            </w:r>
          </w:p>
        </w:tc>
        <w:tc>
          <w:tcPr>
            <w:tcW w:type="dxa" w:w="5386"/>
            <w:vAlign w:val="top"/>
            <w:tcMar>
              <w:top w:w="70" w:type="dxa"/>
              <w:start w:w="80" w:type="dxa"/>
              <w:bottom w:w="70" w:type="dxa"/>
              <w:end w:w="80" w:type="dxa"/>
            </w:tcMar>
          </w:tcPr>
          <w:p>
            <w:r>
              <w:rPr>
                <w:rFonts w:ascii="Arial" w:hAnsi="Arial" w:eastAsia="Arial"/>
                <w:sz w:val="17"/>
              </w:rPr>
              <w:t>не более 1 180 млн руб.</w:t>
            </w:r>
          </w:p>
        </w:tc>
      </w:tr>
      <w:tr>
        <w:trPr>
          <w:cantSplit/>
        </w:trPr>
        <w:tc>
          <w:tcPr>
            <w:tcW w:type="dxa" w:w="3402"/>
            <w:vAlign w:val="top"/>
            <w:tcMar>
              <w:top w:w="70" w:type="dxa"/>
              <w:start w:w="80" w:type="dxa"/>
              <w:bottom w:w="70" w:type="dxa"/>
              <w:end w:w="80" w:type="dxa"/>
            </w:tcMar>
          </w:tcPr>
          <w:p>
            <w:r>
              <w:rPr>
                <w:rFonts w:ascii="Arial" w:hAnsi="Arial" w:eastAsia="Arial"/>
                <w:sz w:val="17"/>
              </w:rPr>
              <w:t>OPEX</w:t>
            </w:r>
          </w:p>
        </w:tc>
        <w:tc>
          <w:tcPr>
            <w:tcW w:type="dxa" w:w="5386"/>
            <w:vAlign w:val="top"/>
            <w:tcMar>
              <w:top w:w="70" w:type="dxa"/>
              <w:start w:w="80" w:type="dxa"/>
              <w:bottom w:w="70" w:type="dxa"/>
              <w:end w:w="80" w:type="dxa"/>
            </w:tcMar>
          </w:tcPr>
          <w:p>
            <w:r>
              <w:rPr>
                <w:rFonts w:ascii="Arial" w:hAnsi="Arial" w:eastAsia="Arial"/>
                <w:sz w:val="17"/>
              </w:rPr>
              <w:t>не более 360 млн руб./год</w:t>
            </w:r>
          </w:p>
        </w:tc>
      </w:tr>
      <w:tr>
        <w:trPr>
          <w:cantSplit/>
        </w:trPr>
        <w:tc>
          <w:tcPr>
            <w:tcW w:type="dxa" w:w="3402"/>
            <w:vAlign w:val="top"/>
            <w:tcMar>
              <w:top w:w="70" w:type="dxa"/>
              <w:start w:w="80" w:type="dxa"/>
              <w:bottom w:w="70" w:type="dxa"/>
              <w:end w:w="80" w:type="dxa"/>
            </w:tcMar>
          </w:tcPr>
          <w:p>
            <w:r>
              <w:rPr>
                <w:rFonts w:ascii="Arial" w:hAnsi="Arial" w:eastAsia="Arial"/>
                <w:sz w:val="17"/>
              </w:rPr>
              <w:t>vpub</w:t>
            </w:r>
          </w:p>
        </w:tc>
        <w:tc>
          <w:tcPr>
            <w:tcW w:type="dxa" w:w="5386"/>
            <w:vAlign w:val="top"/>
            <w:tcMar>
              <w:top w:w="70" w:type="dxa"/>
              <w:start w:w="80" w:type="dxa"/>
              <w:bottom w:w="70" w:type="dxa"/>
              <w:end w:w="80" w:type="dxa"/>
            </w:tcMar>
          </w:tcPr>
          <w:p>
            <w:r>
              <w:rPr>
                <w:rFonts w:ascii="Arial" w:hAnsi="Arial" w:eastAsia="Arial"/>
                <w:sz w:val="17"/>
              </w:rPr>
              <w:t>не менее 1 000 млн руб./год</w:t>
            </w:r>
          </w:p>
        </w:tc>
      </w:tr>
      <w:tr>
        <w:trPr>
          <w:cantSplit/>
        </w:trPr>
        <w:tc>
          <w:tcPr>
            <w:tcW w:type="dxa" w:w="3402"/>
            <w:vAlign w:val="top"/>
            <w:tcMar>
              <w:top w:w="70" w:type="dxa"/>
              <w:start w:w="80" w:type="dxa"/>
              <w:bottom w:w="70" w:type="dxa"/>
              <w:end w:w="80" w:type="dxa"/>
            </w:tcMar>
          </w:tcPr>
          <w:p>
            <w:r>
              <w:rPr>
                <w:rFonts w:ascii="Arial" w:hAnsi="Arial" w:eastAsia="Arial"/>
                <w:sz w:val="17"/>
              </w:rPr>
              <w:t>K_cash</w:t>
            </w:r>
          </w:p>
        </w:tc>
        <w:tc>
          <w:tcPr>
            <w:tcW w:type="dxa" w:w="5386"/>
            <w:vAlign w:val="top"/>
            <w:tcMar>
              <w:top w:w="70" w:type="dxa"/>
              <w:start w:w="80" w:type="dxa"/>
              <w:bottom w:w="70" w:type="dxa"/>
              <w:end w:w="80" w:type="dxa"/>
            </w:tcMar>
          </w:tcPr>
          <w:p>
            <w:r>
              <w:rPr>
                <w:rFonts w:ascii="Arial" w:hAnsi="Arial" w:eastAsia="Arial"/>
                <w:sz w:val="17"/>
              </w:rPr>
              <w:t>не менее 0,6</w:t>
            </w:r>
          </w:p>
        </w:tc>
      </w:tr>
      <w:tr>
        <w:trPr>
          <w:cantSplit/>
        </w:trPr>
        <w:tc>
          <w:tcPr>
            <w:tcW w:type="dxa" w:w="3402"/>
            <w:vAlign w:val="top"/>
            <w:tcMar>
              <w:top w:w="70" w:type="dxa"/>
              <w:start w:w="80" w:type="dxa"/>
              <w:bottom w:w="70" w:type="dxa"/>
              <w:end w:w="80" w:type="dxa"/>
            </w:tcMar>
          </w:tcPr>
          <w:p>
            <w:r>
              <w:rPr>
                <w:rFonts w:ascii="Arial" w:hAnsi="Arial" w:eastAsia="Arial"/>
                <w:sz w:val="17"/>
              </w:rPr>
              <w:t>t_rep</w:t>
            </w:r>
          </w:p>
        </w:tc>
        <w:tc>
          <w:tcPr>
            <w:tcW w:type="dxa" w:w="5386"/>
            <w:vAlign w:val="top"/>
            <w:tcMar>
              <w:top w:w="70" w:type="dxa"/>
              <w:start w:w="80" w:type="dxa"/>
              <w:bottom w:w="70" w:type="dxa"/>
              <w:end w:w="80" w:type="dxa"/>
            </w:tcMar>
          </w:tcPr>
          <w:p>
            <w:r>
              <w:rPr>
                <w:rFonts w:ascii="Arial" w:hAnsi="Arial" w:eastAsia="Arial"/>
                <w:sz w:val="17"/>
              </w:rPr>
              <w:t>не менее 0,63</w:t>
            </w:r>
          </w:p>
        </w:tc>
      </w:tr>
    </w:tbl>
    <w:p>
      <w:pPr>
        <w:spacing w:after="0"/>
      </w:pPr>
    </w:p>
    <w:p>
      <w:pPr>
        <w:pStyle w:val="Heading2"/>
      </w:pPr>
      <w:r>
        <w:t>3.3. Модель выбора</w:t>
      </w:r>
    </w:p>
    <w:p>
      <w:r>
        <w:rPr>
          <w:rFonts w:ascii="Arial" w:hAnsi="Arial" w:eastAsia="Arial"/>
          <w:sz w:val="21"/>
        </w:rPr>
        <w:t>После проверки формальных ограничений команда сравнивает все 143 STRESS-допустимые комбинации методом weighted sum с min-max нормализацией. Вес общественной ценности равен 0,30; c0 и K_cash — по 0,15; readiness, resilience, scale и запас по c0 в STRESS — по 0,10. Для критерия «больше — лучше» используется z = (x − min)/(max − min), для «меньше — лучше» — z = 1 − (x − min)/(max − min); итоговый score — взвешенная сумма нормированных критериев.</w:t>
      </w:r>
    </w:p>
    <w:p>
      <w:pPr/>
      <w:r>
        <w:rPr>
          <w:rFonts w:ascii="Arial" w:hAnsi="Arial" w:eastAsia="Arial"/>
          <w:sz w:val="21"/>
        </w:rPr>
        <w:t>MCDA используется как советник: она показывает положение допустимых портфелей и цену компромиссов, но не заменяет управленческое решение. FINAL не объявляется математическим top-1. При финальных весах он получает score 0,725 и занимает 3-е место из 143. При изменении каждого веса по отдельности на ±20% FINAL занимает места 2–5 и ни в одном таком прогоне не становится первым. В 3 000 случайных векторах весов (seed=1) FINAL занимает первое место в 8,4% случаев, медианное место — 14, в топ-3 он входит в 13% случаев. Дополнительный сценарий S2 «commercial cash = 0» используется только как анализ чувствительности команды, а не как официальный фильтр или условие организаторов.</w:t>
      </w:r>
    </w:p>
    <w:p>
      <w:pPr>
        <w:pStyle w:val="Heading2"/>
      </w:pPr>
      <w:r>
        <w:t>3.4. Что модель не учитывает</w:t>
      </w:r>
    </w:p>
    <w:p>
      <w:r>
        <w:rPr>
          <w:rFonts w:ascii="Arial" w:hAnsi="Arial" w:eastAsia="Arial"/>
          <w:sz w:val="21"/>
        </w:rPr>
        <w:t>Канонический движок не считает дисконтирование, NPV/IRR, налоги, стоимость капитала, помесячную ликвидность, вероятностный спрос, SLA, стоимость смены поставщика и многолетний горизонт. Эти вопросы вынесены в отдельные допущения команды. Эксплуатационная архитектура с REST API, журналом доступа, историей событий, source_updated_at, confidence и контрольным набором поставщика описана как целевая, но не реализована в расчётном движке.</w:t>
      </w:r>
    </w:p>
    <w:p>
      <w:pPr>
        <w:pStyle w:val="Heading1"/>
      </w:pPr>
      <w:r>
        <w:t>4. Сравнение альтернатив и выбор портфеля</w:t>
      </w:r>
    </w:p>
    <w:p>
      <w:r>
        <w:rPr>
          <w:rFonts w:ascii="Arial" w:hAnsi="Arial" w:eastAsia="Arial"/>
          <w:sz w:val="21"/>
        </w:rPr>
        <w:t>Для содержательного сравнения команда сохраняет управленческий shortlist FINAL, V1–V8, однако место и score определяются по полному множеству 143 STRESS-допустимых комбинаций. Математические лидеры V7 и V8 добавлены в сравнение отдельно, чтобы не скрывать варианты, которые модель оценивает выше FINAL. V3 проходит BASE, но нарушает официальный STRESS и поэтому не получает места в STRESS-ranking.</w:t>
      </w:r>
    </w:p>
    <w:tbl>
      <w:tblPr>
        <w:tblStyle w:val="TableGrid"/>
        <w:tblW w:type="auto" w:w="0"/>
        <w:jc w:val="center"/>
        <w:tblLook w:firstColumn="1" w:firstRow="1" w:lastColumn="0" w:lastRow="0" w:noHBand="0" w:noVBand="1" w:val="04A0"/>
      </w:tblPr>
      <w:tblGrid>
        <w:gridCol w:w="1261"/>
        <w:gridCol w:w="1261"/>
        <w:gridCol w:w="1261"/>
        <w:gridCol w:w="1261"/>
        <w:gridCol w:w="1261"/>
        <w:gridCol w:w="1261"/>
        <w:gridCol w:w="1261"/>
        <w:gridCol w:w="1261"/>
      </w:tblGrid>
      <w:tr>
        <w:trPr>
          <w:tblHeader w:val="true"/>
          <w:cantSplit/>
        </w:trPr>
        <w:tc>
          <w:tcPr>
            <w:tcW w:type="dxa" w:w="794"/>
            <w:shd w:fill="D9D9D9"/>
            <w:vAlign w:val="center"/>
            <w:tcMar>
              <w:top w:w="70" w:type="dxa"/>
              <w:start w:w="80" w:type="dxa"/>
              <w:bottom w:w="70" w:type="dxa"/>
              <w:end w:w="80" w:type="dxa"/>
            </w:tcMar>
          </w:tcPr>
          <w:p>
            <w:pPr>
              <w:jc w:val="center"/>
            </w:pPr>
            <w:r>
              <w:rPr>
                <w:rFonts w:ascii="Arial" w:hAnsi="Arial" w:eastAsia="Arial"/>
                <w:b/>
                <w:sz w:val="14"/>
              </w:rPr>
              <w:t>Вариант</w:t>
            </w:r>
          </w:p>
        </w:tc>
        <w:tc>
          <w:tcPr>
            <w:tcW w:type="dxa" w:w="3005"/>
            <w:shd w:fill="D9D9D9"/>
            <w:vAlign w:val="center"/>
            <w:tcMar>
              <w:top w:w="70" w:type="dxa"/>
              <w:start w:w="80" w:type="dxa"/>
              <w:bottom w:w="70" w:type="dxa"/>
              <w:end w:w="80" w:type="dxa"/>
            </w:tcMar>
          </w:tcPr>
          <w:p>
            <w:pPr>
              <w:jc w:val="center"/>
            </w:pPr>
            <w:r>
              <w:rPr>
                <w:rFonts w:ascii="Arial" w:hAnsi="Arial" w:eastAsia="Arial"/>
                <w:b/>
                <w:sz w:val="14"/>
              </w:rPr>
              <w:t>Состав</w:t>
            </w:r>
          </w:p>
        </w:tc>
        <w:tc>
          <w:tcPr>
            <w:tcW w:type="dxa" w:w="907"/>
            <w:shd w:fill="D9D9D9"/>
            <w:vAlign w:val="center"/>
            <w:tcMar>
              <w:top w:w="70" w:type="dxa"/>
              <w:start w:w="80" w:type="dxa"/>
              <w:bottom w:w="70" w:type="dxa"/>
              <w:end w:w="80" w:type="dxa"/>
            </w:tcMar>
          </w:tcPr>
          <w:p>
            <w:pPr>
              <w:jc w:val="center"/>
            </w:pPr>
            <w:r>
              <w:rPr>
                <w:rFonts w:ascii="Arial" w:hAnsi="Arial" w:eastAsia="Arial"/>
                <w:b/>
                <w:sz w:val="14"/>
              </w:rPr>
              <w:t>vpub</w:t>
            </w:r>
          </w:p>
        </w:tc>
        <w:tc>
          <w:tcPr>
            <w:tcW w:type="dxa" w:w="964"/>
            <w:shd w:fill="D9D9D9"/>
            <w:vAlign w:val="center"/>
            <w:tcMar>
              <w:top w:w="70" w:type="dxa"/>
              <w:start w:w="80" w:type="dxa"/>
              <w:bottom w:w="70" w:type="dxa"/>
              <w:end w:w="80" w:type="dxa"/>
            </w:tcMar>
          </w:tcPr>
          <w:p>
            <w:pPr>
              <w:jc w:val="center"/>
            </w:pPr>
            <w:r>
              <w:rPr>
                <w:rFonts w:ascii="Arial" w:hAnsi="Arial" w:eastAsia="Arial"/>
                <w:b/>
                <w:sz w:val="14"/>
              </w:rPr>
              <w:t>c0</w:t>
            </w:r>
          </w:p>
        </w:tc>
        <w:tc>
          <w:tcPr>
            <w:tcW w:type="dxa" w:w="850"/>
            <w:shd w:fill="D9D9D9"/>
            <w:vAlign w:val="center"/>
            <w:tcMar>
              <w:top w:w="70" w:type="dxa"/>
              <w:start w:w="80" w:type="dxa"/>
              <w:bottom w:w="70" w:type="dxa"/>
              <w:end w:w="80" w:type="dxa"/>
            </w:tcMar>
          </w:tcPr>
          <w:p>
            <w:pPr>
              <w:jc w:val="center"/>
            </w:pPr>
            <w:r>
              <w:rPr>
                <w:rFonts w:ascii="Arial" w:hAnsi="Arial" w:eastAsia="Arial"/>
                <w:b/>
                <w:sz w:val="14"/>
              </w:rPr>
              <w:t>K_cash</w:t>
            </w:r>
          </w:p>
        </w:tc>
        <w:tc>
          <w:tcPr>
            <w:tcW w:type="dxa" w:w="1077"/>
            <w:shd w:fill="D9D9D9"/>
            <w:vAlign w:val="center"/>
            <w:tcMar>
              <w:top w:w="70" w:type="dxa"/>
              <w:start w:w="80" w:type="dxa"/>
              <w:bottom w:w="70" w:type="dxa"/>
              <w:end w:w="80" w:type="dxa"/>
            </w:tcMar>
          </w:tcPr>
          <w:p>
            <w:pPr>
              <w:jc w:val="center"/>
            </w:pPr>
            <w:r>
              <w:rPr>
                <w:rFonts w:ascii="Arial" w:hAnsi="Arial" w:eastAsia="Arial"/>
                <w:b/>
                <w:sz w:val="14"/>
              </w:rPr>
              <w:t>Запас STRESS</w:t>
            </w:r>
          </w:p>
        </w:tc>
        <w:tc>
          <w:tcPr>
            <w:tcW w:type="dxa" w:w="850"/>
            <w:shd w:fill="D9D9D9"/>
            <w:vAlign w:val="center"/>
            <w:tcMar>
              <w:top w:w="70" w:type="dxa"/>
              <w:start w:w="80" w:type="dxa"/>
              <w:bottom w:w="70" w:type="dxa"/>
              <w:end w:w="80" w:type="dxa"/>
            </w:tcMar>
          </w:tcPr>
          <w:p>
            <w:r>
              <w:t>Score / место</w:t>
            </w:r>
          </w:p>
        </w:tc>
        <w:tc>
          <w:tcPr>
            <w:tcW w:type="dxa" w:w="737"/>
            <w:shd w:fill="D9D9D9"/>
            <w:vAlign w:val="center"/>
            <w:tcMar>
              <w:top w:w="70" w:type="dxa"/>
              <w:start w:w="80" w:type="dxa"/>
              <w:bottom w:w="70" w:type="dxa"/>
              <w:end w:w="80" w:type="dxa"/>
            </w:tcMar>
          </w:tcPr>
          <w:p>
            <w:pPr>
              <w:jc w:val="center"/>
            </w:pPr>
            <w:r>
              <w:rPr>
                <w:rFonts w:ascii="Arial" w:hAnsi="Arial" w:eastAsia="Arial"/>
                <w:b/>
                <w:sz w:val="14"/>
              </w:rPr>
              <w:t>STRESS</w:t>
            </w:r>
          </w:p>
        </w:tc>
      </w:tr>
      <w:tr>
        <w:trPr>
          <w:cantSplit/>
        </w:trPr>
        <w:tc>
          <w:tcPr>
            <w:tcW w:type="dxa" w:w="1261"/>
          </w:tcPr>
          <w:p>
            <w:r>
              <w:t>V7</w:t>
            </w:r>
          </w:p>
        </w:tc>
        <w:tc>
          <w:tcPr>
            <w:tcW w:type="dxa" w:w="1261"/>
          </w:tcPr>
          <w:p>
            <w:r>
              <w:t>FIRE-A, AGRI-C, TRANS-C, ENV-A</w:t>
            </w:r>
          </w:p>
        </w:tc>
        <w:tc>
          <w:tcPr>
            <w:tcW w:type="dxa" w:w="1261"/>
          </w:tcPr>
          <w:p>
            <w:r>
              <w:t>1 199,0</w:t>
            </w:r>
          </w:p>
        </w:tc>
        <w:tc>
          <w:tcPr>
            <w:tcW w:type="dxa" w:w="1261"/>
          </w:tcPr>
          <w:p>
            <w:r>
              <w:t>1 129,8</w:t>
            </w:r>
          </w:p>
        </w:tc>
        <w:tc>
          <w:tcPr>
            <w:tcW w:type="dxa" w:w="1261"/>
          </w:tcPr>
          <w:p>
            <w:r>
              <w:t>1,302</w:t>
            </w:r>
          </w:p>
        </w:tc>
        <w:tc>
          <w:tcPr>
            <w:tcW w:type="dxa" w:w="1261"/>
          </w:tcPr>
          <w:p>
            <w:r>
              <w:t>+50,2</w:t>
            </w:r>
          </w:p>
        </w:tc>
        <w:tc>
          <w:tcPr>
            <w:tcW w:type="dxa" w:w="1261"/>
          </w:tcPr>
          <w:p>
            <w:r>
              <w:t>0,737 / 1</w:t>
            </w:r>
          </w:p>
        </w:tc>
        <w:tc>
          <w:tcPr>
            <w:tcW w:type="dxa" w:w="1261"/>
          </w:tcPr>
          <w:p>
            <w:r>
              <w:t>PASS</w:t>
            </w:r>
          </w:p>
        </w:tc>
      </w:tr>
      <w:tr>
        <w:trPr>
          <w:cantSplit/>
        </w:trPr>
        <w:tc>
          <w:tcPr>
            <w:tcW w:type="dxa" w:w="1261"/>
          </w:tcPr>
          <w:p>
            <w:r>
              <w:t>V8</w:t>
            </w:r>
          </w:p>
        </w:tc>
        <w:tc>
          <w:tcPr>
            <w:tcW w:type="dxa" w:w="1261"/>
          </w:tcPr>
          <w:p>
            <w:r>
              <w:t>FIRE-A, AGRI-C, TRANS-B, ENV-A</w:t>
            </w:r>
          </w:p>
        </w:tc>
        <w:tc>
          <w:tcPr>
            <w:tcW w:type="dxa" w:w="1261"/>
          </w:tcPr>
          <w:p>
            <w:r>
              <w:t>1 243,0</w:t>
            </w:r>
          </w:p>
        </w:tc>
        <w:tc>
          <w:tcPr>
            <w:tcW w:type="dxa" w:w="1261"/>
          </w:tcPr>
          <w:p>
            <w:r>
              <w:t>1 134,8</w:t>
            </w:r>
          </w:p>
        </w:tc>
        <w:tc>
          <w:tcPr>
            <w:tcW w:type="dxa" w:w="1261"/>
          </w:tcPr>
          <w:p>
            <w:r>
              <w:t>1,261</w:t>
            </w:r>
          </w:p>
        </w:tc>
        <w:tc>
          <w:tcPr>
            <w:tcW w:type="dxa" w:w="1261"/>
          </w:tcPr>
          <w:p>
            <w:r>
              <w:t>+45,2</w:t>
            </w:r>
          </w:p>
        </w:tc>
        <w:tc>
          <w:tcPr>
            <w:tcW w:type="dxa" w:w="1261"/>
          </w:tcPr>
          <w:p>
            <w:r>
              <w:t>0,737 / 2</w:t>
            </w:r>
          </w:p>
        </w:tc>
        <w:tc>
          <w:tcPr>
            <w:tcW w:type="dxa" w:w="1261"/>
          </w:tcPr>
          <w:p>
            <w:r>
              <w:t>PASS</w:t>
            </w:r>
          </w:p>
        </w:tc>
      </w:tr>
      <w:tr>
        <w:trPr>
          <w:cantSplit/>
        </w:trPr>
        <w:tc>
          <w:tcPr>
            <w:tcW w:type="dxa" w:w="1261"/>
          </w:tcPr>
          <w:p>
            <w:r>
              <w:t>FINAL</w:t>
            </w:r>
          </w:p>
        </w:tc>
        <w:tc>
          <w:tcPr>
            <w:tcW w:type="dxa" w:w="1261"/>
          </w:tcPr>
          <w:p>
            <w:r>
              <w:t>FIRE-A, ENV-A, AGRI-B, TRANS-B</w:t>
            </w:r>
          </w:p>
        </w:tc>
        <w:tc>
          <w:tcPr>
            <w:tcW w:type="dxa" w:w="1261"/>
          </w:tcPr>
          <w:p>
            <w:r>
              <w:t>1 289,0</w:t>
            </w:r>
          </w:p>
        </w:tc>
        <w:tc>
          <w:tcPr>
            <w:tcW w:type="dxa" w:w="1261"/>
          </w:tcPr>
          <w:p>
            <w:r>
              <w:t>1 140,0</w:t>
            </w:r>
          </w:p>
        </w:tc>
        <w:tc>
          <w:tcPr>
            <w:tcW w:type="dxa" w:w="1261"/>
          </w:tcPr>
          <w:p>
            <w:r>
              <w:t>1,184</w:t>
            </w:r>
          </w:p>
        </w:tc>
        <w:tc>
          <w:tcPr>
            <w:tcW w:type="dxa" w:w="1261"/>
          </w:tcPr>
          <w:p>
            <w:r>
              <w:t>+40,0</w:t>
            </w:r>
          </w:p>
        </w:tc>
        <w:tc>
          <w:tcPr>
            <w:tcW w:type="dxa" w:w="1261"/>
          </w:tcPr>
          <w:p>
            <w:r>
              <w:t>0,725 / 3</w:t>
            </w:r>
          </w:p>
        </w:tc>
        <w:tc>
          <w:tcPr>
            <w:tcW w:type="dxa" w:w="1261"/>
          </w:tcPr>
          <w:p>
            <w:r>
              <w:t>PASS</w:t>
            </w:r>
          </w:p>
        </w:tc>
      </w:tr>
      <w:tr>
        <w:trPr>
          <w:cantSplit/>
        </w:trPr>
        <w:tc>
          <w:tcPr>
            <w:tcW w:type="dxa" w:w="1261"/>
          </w:tcPr>
          <w:p>
            <w:r>
              <w:t>V1</w:t>
            </w:r>
          </w:p>
        </w:tc>
        <w:tc>
          <w:tcPr>
            <w:tcW w:type="dxa" w:w="1261"/>
          </w:tcPr>
          <w:p>
            <w:r>
              <w:t>FIRE-A, AGRI-A, TRANS-A, ENV-A</w:t>
            </w:r>
          </w:p>
        </w:tc>
        <w:tc>
          <w:tcPr>
            <w:tcW w:type="dxa" w:w="1261"/>
          </w:tcPr>
          <w:p>
            <w:r>
              <w:t>1 370,0</w:t>
            </w:r>
          </w:p>
        </w:tc>
        <w:tc>
          <w:tcPr>
            <w:tcW w:type="dxa" w:w="1261"/>
          </w:tcPr>
          <w:p>
            <w:r>
              <w:t>1 165,5</w:t>
            </w:r>
          </w:p>
        </w:tc>
        <w:tc>
          <w:tcPr>
            <w:tcW w:type="dxa" w:w="1261"/>
          </w:tcPr>
          <w:p>
            <w:r>
              <w:t>0,902</w:t>
            </w:r>
          </w:p>
        </w:tc>
        <w:tc>
          <w:tcPr>
            <w:tcW w:type="dxa" w:w="1261"/>
          </w:tcPr>
          <w:p>
            <w:r>
              <w:t>+14,5</w:t>
            </w:r>
          </w:p>
        </w:tc>
        <w:tc>
          <w:tcPr>
            <w:tcW w:type="dxa" w:w="1261"/>
          </w:tcPr>
          <w:p>
            <w:r>
              <w:t>0,583 / 37</w:t>
            </w:r>
          </w:p>
        </w:tc>
        <w:tc>
          <w:tcPr>
            <w:tcW w:type="dxa" w:w="1261"/>
          </w:tcPr>
          <w:p>
            <w:r>
              <w:t>PASS</w:t>
            </w:r>
          </w:p>
        </w:tc>
      </w:tr>
      <w:tr>
        <w:trPr>
          <w:cantSplit/>
        </w:trPr>
        <w:tc>
          <w:tcPr>
            <w:tcW w:type="dxa" w:w="1261"/>
          </w:tcPr>
          <w:p>
            <w:r>
              <w:t>V2</w:t>
            </w:r>
          </w:p>
        </w:tc>
        <w:tc>
          <w:tcPr>
            <w:tcW w:type="dxa" w:w="1261"/>
          </w:tcPr>
          <w:p>
            <w:r>
              <w:t>FLOOD-A, AGRI-A, TRANS-B, ENV-A</w:t>
            </w:r>
          </w:p>
        </w:tc>
        <w:tc>
          <w:tcPr>
            <w:tcW w:type="dxa" w:w="1261"/>
          </w:tcPr>
          <w:p>
            <w:r>
              <w:t>1 370,4</w:t>
            </w:r>
          </w:p>
        </w:tc>
        <w:tc>
          <w:tcPr>
            <w:tcW w:type="dxa" w:w="1261"/>
          </w:tcPr>
          <w:p>
            <w:r>
              <w:t>1 174,0</w:t>
            </w:r>
          </w:p>
        </w:tc>
        <w:tc>
          <w:tcPr>
            <w:tcW w:type="dxa" w:w="1261"/>
          </w:tcPr>
          <w:p>
            <w:r>
              <w:t>1,040</w:t>
            </w:r>
          </w:p>
        </w:tc>
        <w:tc>
          <w:tcPr>
            <w:tcW w:type="dxa" w:w="1261"/>
          </w:tcPr>
          <w:p>
            <w:r>
              <w:t>+6,0</w:t>
            </w:r>
          </w:p>
        </w:tc>
        <w:tc>
          <w:tcPr>
            <w:tcW w:type="dxa" w:w="1261"/>
          </w:tcPr>
          <w:p>
            <w:r>
              <w:t>0,555 / 51</w:t>
            </w:r>
          </w:p>
        </w:tc>
        <w:tc>
          <w:tcPr>
            <w:tcW w:type="dxa" w:w="1261"/>
          </w:tcPr>
          <w:p>
            <w:r>
              <w:t>PASS</w:t>
            </w:r>
          </w:p>
        </w:tc>
      </w:tr>
      <w:tr>
        <w:trPr>
          <w:cantSplit/>
        </w:trPr>
        <w:tc>
          <w:tcPr>
            <w:tcW w:type="dxa" w:w="1261"/>
          </w:tcPr>
          <w:p>
            <w:r>
              <w:t>V5</w:t>
            </w:r>
          </w:p>
        </w:tc>
        <w:tc>
          <w:tcPr>
            <w:tcW w:type="dxa" w:w="1261"/>
          </w:tcPr>
          <w:p>
            <w:r>
              <w:t>FIRE-A, AGRI-B, INFRA-A, TRANS-B</w:t>
            </w:r>
          </w:p>
        </w:tc>
        <w:tc>
          <w:tcPr>
            <w:tcW w:type="dxa" w:w="1261"/>
          </w:tcPr>
          <w:p>
            <w:r>
              <w:t>1 229,0</w:t>
            </w:r>
          </w:p>
        </w:tc>
        <w:tc>
          <w:tcPr>
            <w:tcW w:type="dxa" w:w="1261"/>
          </w:tcPr>
          <w:p>
            <w:r>
              <w:t>1 171,5</w:t>
            </w:r>
          </w:p>
        </w:tc>
        <w:tc>
          <w:tcPr>
            <w:tcW w:type="dxa" w:w="1261"/>
          </w:tcPr>
          <w:p>
            <w:r>
              <w:t>1,180</w:t>
            </w:r>
          </w:p>
        </w:tc>
        <w:tc>
          <w:tcPr>
            <w:tcW w:type="dxa" w:w="1261"/>
          </w:tcPr>
          <w:p>
            <w:r>
              <w:t>+8,5</w:t>
            </w:r>
          </w:p>
        </w:tc>
        <w:tc>
          <w:tcPr>
            <w:tcW w:type="dxa" w:w="1261"/>
          </w:tcPr>
          <w:p>
            <w:r>
              <w:t>0,473 / 77</w:t>
            </w:r>
          </w:p>
        </w:tc>
        <w:tc>
          <w:tcPr>
            <w:tcW w:type="dxa" w:w="1261"/>
          </w:tcPr>
          <w:p>
            <w:r>
              <w:t>PASS</w:t>
            </w:r>
          </w:p>
        </w:tc>
      </w:tr>
      <w:tr>
        <w:trPr>
          <w:cantSplit/>
        </w:trPr>
        <w:tc>
          <w:tcPr>
            <w:tcW w:type="dxa" w:w="1261"/>
          </w:tcPr>
          <w:p>
            <w:r>
              <w:t>V6</w:t>
            </w:r>
          </w:p>
        </w:tc>
        <w:tc>
          <w:tcPr>
            <w:tcW w:type="dxa" w:w="1261"/>
          </w:tcPr>
          <w:p>
            <w:r>
              <w:t>AGRI-A, INFRA-A, TRANS-A, ENV-A</w:t>
            </w:r>
          </w:p>
        </w:tc>
        <w:tc>
          <w:tcPr>
            <w:tcW w:type="dxa" w:w="1261"/>
          </w:tcPr>
          <w:p>
            <w:r>
              <w:t>1 110,0</w:t>
            </w:r>
          </w:p>
        </w:tc>
        <w:tc>
          <w:tcPr>
            <w:tcW w:type="dxa" w:w="1261"/>
          </w:tcPr>
          <w:p>
            <w:r>
              <w:t>1 155,0</w:t>
            </w:r>
          </w:p>
        </w:tc>
        <w:tc>
          <w:tcPr>
            <w:tcW w:type="dxa" w:w="1261"/>
          </w:tcPr>
          <w:p>
            <w:r>
              <w:t>0,909</w:t>
            </w:r>
          </w:p>
        </w:tc>
        <w:tc>
          <w:tcPr>
            <w:tcW w:type="dxa" w:w="1261"/>
          </w:tcPr>
          <w:p>
            <w:r>
              <w:t>+25,0</w:t>
            </w:r>
          </w:p>
        </w:tc>
        <w:tc>
          <w:tcPr>
            <w:tcW w:type="dxa" w:w="1261"/>
          </w:tcPr>
          <w:p>
            <w:r>
              <w:t>0,436 / 90</w:t>
            </w:r>
          </w:p>
        </w:tc>
        <w:tc>
          <w:tcPr>
            <w:tcW w:type="dxa" w:w="1261"/>
          </w:tcPr>
          <w:p>
            <w:r>
              <w:t>PASS</w:t>
            </w:r>
          </w:p>
        </w:tc>
      </w:tr>
      <w:tr>
        <w:trPr>
          <w:cantSplit/>
        </w:trPr>
        <w:tc>
          <w:tcPr>
            <w:tcW w:type="dxa" w:w="1261"/>
          </w:tcPr>
          <w:p>
            <w:r>
              <w:t>V4</w:t>
            </w:r>
          </w:p>
        </w:tc>
        <w:tc>
          <w:tcPr>
            <w:tcW w:type="dxa" w:w="1261"/>
          </w:tcPr>
          <w:p>
            <w:r>
              <w:t>AGRI-A, TRANS-A, ENV-A, SSA-A</w:t>
            </w:r>
          </w:p>
        </w:tc>
        <w:tc>
          <w:tcPr>
            <w:tcW w:type="dxa" w:w="1261"/>
          </w:tcPr>
          <w:p>
            <w:r>
              <w:t>1 150,0</w:t>
            </w:r>
          </w:p>
        </w:tc>
        <w:tc>
          <w:tcPr>
            <w:tcW w:type="dxa" w:w="1261"/>
          </w:tcPr>
          <w:p>
            <w:r>
              <w:t>1 176,0</w:t>
            </w:r>
          </w:p>
        </w:tc>
        <w:tc>
          <w:tcPr>
            <w:tcW w:type="dxa" w:w="1261"/>
          </w:tcPr>
          <w:p>
            <w:r>
              <w:t>0,892</w:t>
            </w:r>
          </w:p>
        </w:tc>
        <w:tc>
          <w:tcPr>
            <w:tcW w:type="dxa" w:w="1261"/>
          </w:tcPr>
          <w:p>
            <w:r>
              <w:t>+4,0</w:t>
            </w:r>
          </w:p>
        </w:tc>
        <w:tc>
          <w:tcPr>
            <w:tcW w:type="dxa" w:w="1261"/>
          </w:tcPr>
          <w:p>
            <w:r>
              <w:t>0,294 / 131</w:t>
            </w:r>
          </w:p>
        </w:tc>
        <w:tc>
          <w:tcPr>
            <w:tcW w:type="dxa" w:w="1261"/>
          </w:tcPr>
          <w:p>
            <w:r>
              <w:t>PASS</w:t>
            </w:r>
          </w:p>
        </w:tc>
      </w:tr>
      <w:tr>
        <w:trPr>
          <w:cantSplit/>
        </w:trPr>
        <w:tc>
          <w:tcPr>
            <w:tcW w:type="dxa" w:w="1261"/>
          </w:tcPr>
          <w:p>
            <w:r>
              <w:t>V3</w:t>
            </w:r>
          </w:p>
        </w:tc>
        <w:tc>
          <w:tcPr>
            <w:tcW w:type="dxa" w:w="1261"/>
          </w:tcPr>
          <w:p>
            <w:r>
              <w:t>FIRE-A, FLOOD-A, TRANS-A, ENV-A</w:t>
            </w:r>
          </w:p>
        </w:tc>
        <w:tc>
          <w:tcPr>
            <w:tcW w:type="dxa" w:w="1261"/>
          </w:tcPr>
          <w:p>
            <w:r>
              <w:t>1 740,0</w:t>
            </w:r>
          </w:p>
        </w:tc>
        <w:tc>
          <w:tcPr>
            <w:tcW w:type="dxa" w:w="1261"/>
          </w:tcPr>
          <w:p>
            <w:r>
              <w:t>1 249,5</w:t>
            </w:r>
          </w:p>
        </w:tc>
        <w:tc>
          <w:tcPr>
            <w:tcW w:type="dxa" w:w="1261"/>
          </w:tcPr>
          <w:p>
            <w:r>
              <w:t>0,967</w:t>
            </w:r>
          </w:p>
        </w:tc>
        <w:tc>
          <w:tcPr>
            <w:tcW w:type="dxa" w:w="1261"/>
          </w:tcPr>
          <w:p>
            <w:r>
              <w:t>−69,5</w:t>
            </w:r>
          </w:p>
        </w:tc>
        <w:tc>
          <w:tcPr>
            <w:tcW w:type="dxa" w:w="1261"/>
          </w:tcPr>
          <w:p>
            <w:r>
              <w:t>без места</w:t>
            </w:r>
          </w:p>
        </w:tc>
        <w:tc>
          <w:tcPr>
            <w:tcW w:type="dxa" w:w="1261"/>
          </w:tcPr>
          <w:p>
            <w:r>
              <w:t>FAIL</w:t>
            </w:r>
          </w:p>
        </w:tc>
      </w:tr>
    </w:tbl>
    <w:p>
      <w:pPr>
        <w:spacing w:after="0"/>
      </w:pPr>
    </w:p>
    <w:p>
      <w:r>
        <w:rPr>
          <w:rFonts w:ascii="Arial" w:hAnsi="Arial" w:eastAsia="Arial"/>
          <w:sz w:val="21"/>
        </w:rPr>
        <w:t>Математический лидер V7 (FIRE-A + AGRI-C + TRANS-C + ENV-A) имеет score около 0,737, более низкие c0 и OPEX и более высокий cash, но режимы C уменьшают общественную ценность и якорную компоненту AGRI/TRANS. По сравнению с V7 FINAL требует на 10,2 млн руб. больше c0 и на 7,25 млн руб./год больше OPEX, даёт на 27,5 млн руб./год меньше cash и уменьшает запас STRESS на 10,2 млн руб., но повышает vpub на 90 млн руб./год. V8 является промежуточным компромиссом и также стоит выше FINAL по MCDA, но оставляет AGRI в режиме C.</w:t>
      </w:r>
    </w:p>
    <w:p>
      <w:r>
        <w:rPr>
          <w:rFonts w:ascii="Arial" w:hAnsi="Arial" w:eastAsia="Arial"/>
          <w:sz w:val="21"/>
        </w:rPr>
        <w:t>FINAL выбран как Парето-эффективный управленческий компромисс: режимы B для AGRI/TRANS дают больше общественной ценности, чем C, при положительном операционном балансе +57,5 млн руб./год и запасе STRESS 40 млн руб.; V3 не проходит STRESS.</w:t>
      </w:r>
    </w:p>
    <w:p>
      <w:pPr/>
      <w:r>
        <w:t>Аргументация выбора предъявляется в интерфейсе как проверяемая цепочка, а не только как текст записки. Экран «Почему FINAL» показывает, что FINAL — управленческий выбор и 3-е место из 143, не скрывает более высокие по MCDA V7/V8, показывает сравнение выигрышей и потерь и раскладывает score по критериям. Конструктор позволяет собрать произвольный портфель из четырёх уникальных лотов и режимов и пересчитать его через серверный слой на том же движке; вкладка ограничений выводит условие, требование, факт, запас и явную причину FAIL для BASE и STRESS. Сценарий S2 отображается отдельно и подписан как командная диагностика, а не официальный STRESS.</w:t>
      </w:r>
    </w:p>
    <w:p>
      <w:pPr>
        <w:pStyle w:val="Heading1"/>
      </w:pPr>
      <w:r>
        <w:t>5. Базовый сценарий и экономика выбранного портфеля</w:t>
      </w:r>
    </w:p>
    <w:tbl>
      <w:tblPr>
        <w:tblStyle w:val="TableGrid"/>
        <w:tblW w:type="auto" w:w="0"/>
        <w:jc w:val="center"/>
        <w:tblLook w:firstColumn="1" w:firstRow="1" w:lastColumn="0" w:lastRow="0" w:noHBand="0" w:noVBand="1" w:val="04A0"/>
      </w:tblPr>
      <w:tblGrid>
        <w:gridCol w:w="1121"/>
        <w:gridCol w:w="1121"/>
        <w:gridCol w:w="1121"/>
        <w:gridCol w:w="1121"/>
        <w:gridCol w:w="1121"/>
        <w:gridCol w:w="1121"/>
        <w:gridCol w:w="1121"/>
        <w:gridCol w:w="1121"/>
        <w:gridCol w:w="1121"/>
      </w:tblGrid>
      <w:tr>
        <w:trPr>
          <w:tblHeader w:val="true"/>
          <w:cantSplit/>
        </w:trPr>
        <w:tc>
          <w:tcPr>
            <w:tcW w:type="dxa" w:w="850"/>
            <w:shd w:fill="D9D9D9"/>
            <w:vAlign w:val="center"/>
            <w:tcMar>
              <w:top w:w="70" w:type="dxa"/>
              <w:start w:w="80" w:type="dxa"/>
              <w:bottom w:w="70" w:type="dxa"/>
              <w:end w:w="80" w:type="dxa"/>
            </w:tcMar>
          </w:tcPr>
          <w:p>
            <w:pPr>
              <w:jc w:val="center"/>
            </w:pPr>
            <w:r>
              <w:rPr>
                <w:rFonts w:ascii="Arial" w:hAnsi="Arial" w:eastAsia="Arial"/>
                <w:b/>
                <w:sz w:val="15"/>
              </w:rPr>
              <w:t>Лот</w:t>
            </w:r>
          </w:p>
        </w:tc>
        <w:tc>
          <w:tcPr>
            <w:tcW w:type="dxa" w:w="624"/>
            <w:shd w:fill="D9D9D9"/>
            <w:vAlign w:val="center"/>
            <w:tcMar>
              <w:top w:w="70" w:type="dxa"/>
              <w:start w:w="80" w:type="dxa"/>
              <w:bottom w:w="70" w:type="dxa"/>
              <w:end w:w="80" w:type="dxa"/>
            </w:tcMar>
          </w:tcPr>
          <w:p>
            <w:pPr>
              <w:jc w:val="center"/>
            </w:pPr>
            <w:r>
              <w:rPr>
                <w:rFonts w:ascii="Arial" w:hAnsi="Arial" w:eastAsia="Arial"/>
                <w:b/>
                <w:sz w:val="15"/>
              </w:rPr>
              <w:t>Режим</w:t>
            </w:r>
          </w:p>
        </w:tc>
        <w:tc>
          <w:tcPr>
            <w:tcW w:type="dxa" w:w="850"/>
            <w:shd w:fill="D9D9D9"/>
            <w:vAlign w:val="center"/>
            <w:tcMar>
              <w:top w:w="70" w:type="dxa"/>
              <w:start w:w="80" w:type="dxa"/>
              <w:bottom w:w="70" w:type="dxa"/>
              <w:end w:w="80" w:type="dxa"/>
            </w:tcMar>
          </w:tcPr>
          <w:p>
            <w:pPr>
              <w:jc w:val="center"/>
            </w:pPr>
            <w:r>
              <w:rPr>
                <w:rFonts w:ascii="Arial" w:hAnsi="Arial" w:eastAsia="Arial"/>
                <w:b/>
                <w:sz w:val="15"/>
              </w:rPr>
              <w:t>c0</w:t>
            </w:r>
          </w:p>
        </w:tc>
        <w:tc>
          <w:tcPr>
            <w:tcW w:type="dxa" w:w="850"/>
            <w:shd w:fill="D9D9D9"/>
            <w:vAlign w:val="center"/>
            <w:tcMar>
              <w:top w:w="70" w:type="dxa"/>
              <w:start w:w="80" w:type="dxa"/>
              <w:bottom w:w="70" w:type="dxa"/>
              <w:end w:w="80" w:type="dxa"/>
            </w:tcMar>
          </w:tcPr>
          <w:p>
            <w:pPr>
              <w:jc w:val="center"/>
            </w:pPr>
            <w:r>
              <w:rPr>
                <w:rFonts w:ascii="Arial" w:hAnsi="Arial" w:eastAsia="Arial"/>
                <w:b/>
                <w:sz w:val="15"/>
              </w:rPr>
              <w:t>OPEX</w:t>
            </w:r>
          </w:p>
        </w:tc>
        <w:tc>
          <w:tcPr>
            <w:tcW w:type="dxa" w:w="850"/>
            <w:shd w:fill="D9D9D9"/>
            <w:vAlign w:val="center"/>
            <w:tcMar>
              <w:top w:w="70" w:type="dxa"/>
              <w:start w:w="80" w:type="dxa"/>
              <w:bottom w:w="70" w:type="dxa"/>
              <w:end w:w="80" w:type="dxa"/>
            </w:tcMar>
          </w:tcPr>
          <w:p>
            <w:pPr>
              <w:jc w:val="center"/>
            </w:pPr>
            <w:r>
              <w:rPr>
                <w:rFonts w:ascii="Arial" w:hAnsi="Arial" w:eastAsia="Arial"/>
                <w:b/>
                <w:sz w:val="15"/>
              </w:rPr>
              <w:t>vpub</w:t>
            </w:r>
          </w:p>
        </w:tc>
        <w:tc>
          <w:tcPr>
            <w:tcW w:type="dxa" w:w="850"/>
            <w:shd w:fill="D9D9D9"/>
            <w:vAlign w:val="center"/>
            <w:tcMar>
              <w:top w:w="70" w:type="dxa"/>
              <w:start w:w="80" w:type="dxa"/>
              <w:bottom w:w="70" w:type="dxa"/>
              <w:end w:w="80" w:type="dxa"/>
            </w:tcMar>
          </w:tcPr>
          <w:p>
            <w:pPr>
              <w:jc w:val="center"/>
            </w:pPr>
            <w:r>
              <w:rPr>
                <w:rFonts w:ascii="Arial" w:hAnsi="Arial" w:eastAsia="Arial"/>
                <w:b/>
                <w:sz w:val="15"/>
              </w:rPr>
              <w:t>Anchor</w:t>
            </w:r>
          </w:p>
        </w:tc>
        <w:tc>
          <w:tcPr>
            <w:tcW w:type="dxa" w:w="1020"/>
            <w:shd w:fill="D9D9D9"/>
            <w:vAlign w:val="center"/>
            <w:tcMar>
              <w:top w:w="70" w:type="dxa"/>
              <w:start w:w="80" w:type="dxa"/>
              <w:bottom w:w="70" w:type="dxa"/>
              <w:end w:w="80" w:type="dxa"/>
            </w:tcMar>
          </w:tcPr>
          <w:p>
            <w:pPr>
              <w:jc w:val="center"/>
            </w:pPr>
            <w:r>
              <w:rPr>
                <w:rFonts w:ascii="Arial" w:hAnsi="Arial" w:eastAsia="Arial"/>
                <w:b/>
                <w:sz w:val="15"/>
              </w:rPr>
              <w:t>Commercial</w:t>
            </w:r>
          </w:p>
        </w:tc>
        <w:tc>
          <w:tcPr>
            <w:tcW w:type="dxa" w:w="850"/>
            <w:shd w:fill="D9D9D9"/>
            <w:vAlign w:val="center"/>
            <w:tcMar>
              <w:top w:w="70" w:type="dxa"/>
              <w:start w:w="80" w:type="dxa"/>
              <w:bottom w:w="70" w:type="dxa"/>
              <w:end w:w="80" w:type="dxa"/>
            </w:tcMar>
          </w:tcPr>
          <w:p>
            <w:pPr>
              <w:jc w:val="center"/>
            </w:pPr>
            <w:r>
              <w:rPr>
                <w:rFonts w:ascii="Arial" w:hAnsi="Arial" w:eastAsia="Arial"/>
                <w:b/>
                <w:sz w:val="15"/>
              </w:rPr>
              <w:t>Cash</w:t>
            </w:r>
          </w:p>
        </w:tc>
        <w:tc>
          <w:tcPr>
            <w:tcW w:type="dxa" w:w="1191"/>
            <w:shd w:fill="D9D9D9"/>
            <w:vAlign w:val="center"/>
            <w:tcMar>
              <w:top w:w="70" w:type="dxa"/>
              <w:start w:w="80" w:type="dxa"/>
              <w:bottom w:w="70" w:type="dxa"/>
              <w:end w:w="80" w:type="dxa"/>
            </w:tcMar>
          </w:tcPr>
          <w:p>
            <w:pPr>
              <w:jc w:val="center"/>
            </w:pPr>
            <w:r>
              <w:rPr>
                <w:rFonts w:ascii="Arial" w:hAnsi="Arial" w:eastAsia="Arial"/>
                <w:b/>
                <w:sz w:val="15"/>
              </w:rPr>
              <w:t>Баланс OPEX</w:t>
            </w:r>
          </w:p>
        </w:tc>
      </w:tr>
      <w:tr>
        <w:trPr>
          <w:cantSplit/>
        </w:trPr>
        <w:tc>
          <w:tcPr>
            <w:tcW w:type="dxa" w:w="850"/>
            <w:vAlign w:val="top"/>
            <w:tcMar>
              <w:top w:w="70" w:type="dxa"/>
              <w:start w:w="80" w:type="dxa"/>
              <w:bottom w:w="70" w:type="dxa"/>
              <w:end w:w="80" w:type="dxa"/>
            </w:tcMar>
          </w:tcPr>
          <w:p>
            <w:r>
              <w:rPr>
                <w:rFonts w:ascii="Arial" w:hAnsi="Arial" w:eastAsia="Arial"/>
                <w:sz w:val="15"/>
              </w:rPr>
              <w:t>FIRE</w:t>
            </w:r>
          </w:p>
        </w:tc>
        <w:tc>
          <w:tcPr>
            <w:tcW w:type="dxa" w:w="624"/>
            <w:vAlign w:val="top"/>
            <w:tcMar>
              <w:top w:w="70" w:type="dxa"/>
              <w:start w:w="80" w:type="dxa"/>
              <w:bottom w:w="70" w:type="dxa"/>
              <w:end w:w="80" w:type="dxa"/>
            </w:tcMar>
          </w:tcPr>
          <w:p>
            <w:r>
              <w:rPr>
                <w:rFonts w:ascii="Arial" w:hAnsi="Arial" w:eastAsia="Arial"/>
                <w:sz w:val="15"/>
              </w:rPr>
              <w:t>A</w:t>
            </w:r>
          </w:p>
        </w:tc>
        <w:tc>
          <w:tcPr>
            <w:tcW w:type="dxa" w:w="850"/>
            <w:vAlign w:val="top"/>
            <w:tcMar>
              <w:top w:w="70" w:type="dxa"/>
              <w:start w:w="80" w:type="dxa"/>
              <w:bottom w:w="70" w:type="dxa"/>
              <w:end w:w="80" w:type="dxa"/>
            </w:tcMar>
          </w:tcPr>
          <w:p>
            <w:r>
              <w:rPr>
                <w:rFonts w:ascii="Arial" w:hAnsi="Arial" w:eastAsia="Arial"/>
                <w:sz w:val="15"/>
              </w:rPr>
              <w:t>336</w:t>
            </w:r>
          </w:p>
        </w:tc>
        <w:tc>
          <w:tcPr>
            <w:tcW w:type="dxa" w:w="850"/>
            <w:vAlign w:val="top"/>
            <w:tcMar>
              <w:top w:w="70" w:type="dxa"/>
              <w:start w:w="80" w:type="dxa"/>
              <w:bottom w:w="70" w:type="dxa"/>
              <w:end w:w="80" w:type="dxa"/>
            </w:tcMar>
          </w:tcPr>
          <w:p>
            <w:r>
              <w:rPr>
                <w:rFonts w:ascii="Arial" w:hAnsi="Arial" w:eastAsia="Arial"/>
                <w:sz w:val="15"/>
              </w:rPr>
              <w:t>89,25</w:t>
            </w:r>
          </w:p>
        </w:tc>
        <w:tc>
          <w:tcPr>
            <w:tcW w:type="dxa" w:w="850"/>
            <w:vAlign w:val="top"/>
            <w:tcMar>
              <w:top w:w="70" w:type="dxa"/>
              <w:start w:w="80" w:type="dxa"/>
              <w:bottom w:w="70" w:type="dxa"/>
              <w:end w:w="80" w:type="dxa"/>
            </w:tcMar>
          </w:tcPr>
          <w:p>
            <w:r>
              <w:rPr>
                <w:rFonts w:ascii="Arial" w:hAnsi="Arial" w:eastAsia="Arial"/>
                <w:sz w:val="15"/>
              </w:rPr>
              <w:t>560,0</w:t>
            </w:r>
          </w:p>
        </w:tc>
        <w:tc>
          <w:tcPr>
            <w:tcW w:type="dxa" w:w="850"/>
            <w:vAlign w:val="top"/>
            <w:tcMar>
              <w:top w:w="70" w:type="dxa"/>
              <w:start w:w="80" w:type="dxa"/>
              <w:bottom w:w="70" w:type="dxa"/>
              <w:end w:w="80" w:type="dxa"/>
            </w:tcMar>
          </w:tcPr>
          <w:p>
            <w:r>
              <w:rPr>
                <w:rFonts w:ascii="Arial" w:hAnsi="Arial" w:eastAsia="Arial"/>
                <w:sz w:val="15"/>
              </w:rPr>
              <w:t>75</w:t>
            </w:r>
          </w:p>
        </w:tc>
        <w:tc>
          <w:tcPr>
            <w:tcW w:type="dxa" w:w="1020"/>
            <w:vAlign w:val="top"/>
            <w:tcMar>
              <w:top w:w="70" w:type="dxa"/>
              <w:start w:w="80" w:type="dxa"/>
              <w:bottom w:w="70" w:type="dxa"/>
              <w:end w:w="80" w:type="dxa"/>
            </w:tcMar>
          </w:tcPr>
          <w:p>
            <w:r>
              <w:rPr>
                <w:rFonts w:ascii="Arial" w:hAnsi="Arial" w:eastAsia="Arial"/>
                <w:sz w:val="15"/>
              </w:rPr>
              <w:t>8,75</w:t>
            </w:r>
          </w:p>
        </w:tc>
        <w:tc>
          <w:tcPr>
            <w:tcW w:type="dxa" w:w="850"/>
            <w:vAlign w:val="top"/>
            <w:tcMar>
              <w:top w:w="70" w:type="dxa"/>
              <w:start w:w="80" w:type="dxa"/>
              <w:bottom w:w="70" w:type="dxa"/>
              <w:end w:w="80" w:type="dxa"/>
            </w:tcMar>
          </w:tcPr>
          <w:p>
            <w:r>
              <w:rPr>
                <w:rFonts w:ascii="Arial" w:hAnsi="Arial" w:eastAsia="Arial"/>
                <w:sz w:val="15"/>
              </w:rPr>
              <w:t>83,75</w:t>
            </w:r>
          </w:p>
        </w:tc>
        <w:tc>
          <w:tcPr>
            <w:tcW w:type="dxa" w:w="1191"/>
            <w:vAlign w:val="top"/>
            <w:tcMar>
              <w:top w:w="70" w:type="dxa"/>
              <w:start w:w="80" w:type="dxa"/>
              <w:bottom w:w="70" w:type="dxa"/>
              <w:end w:w="80" w:type="dxa"/>
            </w:tcMar>
          </w:tcPr>
          <w:p>
            <w:r>
              <w:rPr>
                <w:rFonts w:ascii="Arial" w:hAnsi="Arial" w:eastAsia="Arial"/>
                <w:sz w:val="15"/>
              </w:rPr>
              <w:t>−5,5</w:t>
            </w:r>
          </w:p>
        </w:tc>
      </w:tr>
      <w:tr>
        <w:trPr>
          <w:cantSplit/>
        </w:trPr>
        <w:tc>
          <w:tcPr>
            <w:tcW w:type="dxa" w:w="850"/>
            <w:vAlign w:val="top"/>
            <w:tcMar>
              <w:top w:w="70" w:type="dxa"/>
              <w:start w:w="80" w:type="dxa"/>
              <w:bottom w:w="70" w:type="dxa"/>
              <w:end w:w="80" w:type="dxa"/>
            </w:tcMar>
          </w:tcPr>
          <w:p>
            <w:r>
              <w:rPr>
                <w:rFonts w:ascii="Arial" w:hAnsi="Arial" w:eastAsia="Arial"/>
                <w:sz w:val="15"/>
              </w:rPr>
              <w:t>ENV</w:t>
            </w:r>
          </w:p>
        </w:tc>
        <w:tc>
          <w:tcPr>
            <w:tcW w:type="dxa" w:w="624"/>
            <w:vAlign w:val="top"/>
            <w:tcMar>
              <w:top w:w="70" w:type="dxa"/>
              <w:start w:w="80" w:type="dxa"/>
              <w:bottom w:w="70" w:type="dxa"/>
              <w:end w:w="80" w:type="dxa"/>
            </w:tcMar>
          </w:tcPr>
          <w:p>
            <w:r>
              <w:rPr>
                <w:rFonts w:ascii="Arial" w:hAnsi="Arial" w:eastAsia="Arial"/>
                <w:sz w:val="15"/>
              </w:rPr>
              <w:t>A</w:t>
            </w:r>
          </w:p>
        </w:tc>
        <w:tc>
          <w:tcPr>
            <w:tcW w:type="dxa" w:w="850"/>
            <w:vAlign w:val="top"/>
            <w:tcMar>
              <w:top w:w="70" w:type="dxa"/>
              <w:start w:w="80" w:type="dxa"/>
              <w:bottom w:w="70" w:type="dxa"/>
              <w:end w:w="80" w:type="dxa"/>
            </w:tcMar>
          </w:tcPr>
          <w:p>
            <w:r>
              <w:rPr>
                <w:rFonts w:ascii="Arial" w:hAnsi="Arial" w:eastAsia="Arial"/>
                <w:sz w:val="15"/>
              </w:rPr>
              <w:t>294</w:t>
            </w:r>
          </w:p>
        </w:tc>
        <w:tc>
          <w:tcPr>
            <w:tcW w:type="dxa" w:w="850"/>
            <w:vAlign w:val="top"/>
            <w:tcMar>
              <w:top w:w="70" w:type="dxa"/>
              <w:start w:w="80" w:type="dxa"/>
              <w:bottom w:w="70" w:type="dxa"/>
              <w:end w:w="80" w:type="dxa"/>
            </w:tcMar>
          </w:tcPr>
          <w:p>
            <w:r>
              <w:rPr>
                <w:rFonts w:ascii="Arial" w:hAnsi="Arial" w:eastAsia="Arial"/>
                <w:sz w:val="15"/>
              </w:rPr>
              <w:t>78,75</w:t>
            </w:r>
          </w:p>
        </w:tc>
        <w:tc>
          <w:tcPr>
            <w:tcW w:type="dxa" w:w="850"/>
            <w:vAlign w:val="top"/>
            <w:tcMar>
              <w:top w:w="70" w:type="dxa"/>
              <w:start w:w="80" w:type="dxa"/>
              <w:bottom w:w="70" w:type="dxa"/>
              <w:end w:w="80" w:type="dxa"/>
            </w:tcMar>
          </w:tcPr>
          <w:p>
            <w:r>
              <w:rPr>
                <w:rFonts w:ascii="Arial" w:hAnsi="Arial" w:eastAsia="Arial"/>
                <w:sz w:val="15"/>
              </w:rPr>
              <w:t>360,0</w:t>
            </w:r>
          </w:p>
        </w:tc>
        <w:tc>
          <w:tcPr>
            <w:tcW w:type="dxa" w:w="850"/>
            <w:vAlign w:val="top"/>
            <w:tcMar>
              <w:top w:w="70" w:type="dxa"/>
              <w:start w:w="80" w:type="dxa"/>
              <w:bottom w:w="70" w:type="dxa"/>
              <w:end w:w="80" w:type="dxa"/>
            </w:tcMar>
          </w:tcPr>
          <w:p>
            <w:r>
              <w:rPr>
                <w:rFonts w:ascii="Arial" w:hAnsi="Arial" w:eastAsia="Arial"/>
                <w:sz w:val="15"/>
              </w:rPr>
              <w:t>55</w:t>
            </w:r>
          </w:p>
        </w:tc>
        <w:tc>
          <w:tcPr>
            <w:tcW w:type="dxa" w:w="1020"/>
            <w:vAlign w:val="top"/>
            <w:tcMar>
              <w:top w:w="70" w:type="dxa"/>
              <w:start w:w="80" w:type="dxa"/>
              <w:bottom w:w="70" w:type="dxa"/>
              <w:end w:w="80" w:type="dxa"/>
            </w:tcMar>
          </w:tcPr>
          <w:p>
            <w:r>
              <w:rPr>
                <w:rFonts w:ascii="Arial" w:hAnsi="Arial" w:eastAsia="Arial"/>
                <w:sz w:val="15"/>
              </w:rPr>
              <w:t>21,25</w:t>
            </w:r>
          </w:p>
        </w:tc>
        <w:tc>
          <w:tcPr>
            <w:tcW w:type="dxa" w:w="850"/>
            <w:vAlign w:val="top"/>
            <w:tcMar>
              <w:top w:w="70" w:type="dxa"/>
              <w:start w:w="80" w:type="dxa"/>
              <w:bottom w:w="70" w:type="dxa"/>
              <w:end w:w="80" w:type="dxa"/>
            </w:tcMar>
          </w:tcPr>
          <w:p>
            <w:r>
              <w:rPr>
                <w:rFonts w:ascii="Arial" w:hAnsi="Arial" w:eastAsia="Arial"/>
                <w:sz w:val="15"/>
              </w:rPr>
              <w:t>76,25</w:t>
            </w:r>
          </w:p>
        </w:tc>
        <w:tc>
          <w:tcPr>
            <w:tcW w:type="dxa" w:w="1191"/>
            <w:vAlign w:val="top"/>
            <w:tcMar>
              <w:top w:w="70" w:type="dxa"/>
              <w:start w:w="80" w:type="dxa"/>
              <w:bottom w:w="70" w:type="dxa"/>
              <w:end w:w="80" w:type="dxa"/>
            </w:tcMar>
          </w:tcPr>
          <w:p>
            <w:r>
              <w:rPr>
                <w:rFonts w:ascii="Arial" w:hAnsi="Arial" w:eastAsia="Arial"/>
                <w:sz w:val="15"/>
              </w:rPr>
              <w:t>−2,5</w:t>
            </w:r>
          </w:p>
        </w:tc>
      </w:tr>
      <w:tr>
        <w:trPr>
          <w:cantSplit/>
        </w:trPr>
        <w:tc>
          <w:tcPr>
            <w:tcW w:type="dxa" w:w="850"/>
            <w:vAlign w:val="top"/>
            <w:tcMar>
              <w:top w:w="70" w:type="dxa"/>
              <w:start w:w="80" w:type="dxa"/>
              <w:bottom w:w="70" w:type="dxa"/>
              <w:end w:w="80" w:type="dxa"/>
            </w:tcMar>
          </w:tcPr>
          <w:p>
            <w:r>
              <w:rPr>
                <w:rFonts w:ascii="Arial" w:hAnsi="Arial" w:eastAsia="Arial"/>
                <w:sz w:val="15"/>
              </w:rPr>
              <w:t>AGRI</w:t>
            </w:r>
          </w:p>
        </w:tc>
        <w:tc>
          <w:tcPr>
            <w:tcW w:type="dxa" w:w="624"/>
            <w:vAlign w:val="top"/>
            <w:tcMar>
              <w:top w:w="70" w:type="dxa"/>
              <w:start w:w="80" w:type="dxa"/>
              <w:bottom w:w="70" w:type="dxa"/>
              <w:end w:w="80" w:type="dxa"/>
            </w:tcMar>
          </w:tcPr>
          <w:p>
            <w:r>
              <w:rPr>
                <w:rFonts w:ascii="Arial" w:hAnsi="Arial" w:eastAsia="Arial"/>
                <w:sz w:val="15"/>
              </w:rPr>
              <w:t>B</w:t>
            </w:r>
          </w:p>
        </w:tc>
        <w:tc>
          <w:tcPr>
            <w:tcW w:type="dxa" w:w="850"/>
            <w:vAlign w:val="top"/>
            <w:tcMar>
              <w:top w:w="70" w:type="dxa"/>
              <w:start w:w="80" w:type="dxa"/>
              <w:bottom w:w="70" w:type="dxa"/>
              <w:end w:w="80" w:type="dxa"/>
            </w:tcMar>
          </w:tcPr>
          <w:p>
            <w:r>
              <w:rPr>
                <w:rFonts w:ascii="Arial" w:hAnsi="Arial" w:eastAsia="Arial"/>
                <w:sz w:val="15"/>
              </w:rPr>
              <w:t>260</w:t>
            </w:r>
          </w:p>
        </w:tc>
        <w:tc>
          <w:tcPr>
            <w:tcW w:type="dxa" w:w="850"/>
            <w:vAlign w:val="top"/>
            <w:tcMar>
              <w:top w:w="70" w:type="dxa"/>
              <w:start w:w="80" w:type="dxa"/>
              <w:bottom w:w="70" w:type="dxa"/>
              <w:end w:w="80" w:type="dxa"/>
            </w:tcMar>
          </w:tcPr>
          <w:p>
            <w:r>
              <w:rPr>
                <w:rFonts w:ascii="Arial" w:hAnsi="Arial" w:eastAsia="Arial"/>
                <w:sz w:val="15"/>
              </w:rPr>
              <w:t>75,0</w:t>
            </w:r>
          </w:p>
        </w:tc>
        <w:tc>
          <w:tcPr>
            <w:tcW w:type="dxa" w:w="850"/>
            <w:vAlign w:val="top"/>
            <w:tcMar>
              <w:top w:w="70" w:type="dxa"/>
              <w:start w:w="80" w:type="dxa"/>
              <w:bottom w:w="70" w:type="dxa"/>
              <w:end w:w="80" w:type="dxa"/>
            </w:tcMar>
          </w:tcPr>
          <w:p>
            <w:r>
              <w:rPr>
                <w:rFonts w:ascii="Arial" w:hAnsi="Arial" w:eastAsia="Arial"/>
                <w:sz w:val="15"/>
              </w:rPr>
              <w:t>188,6</w:t>
            </w:r>
          </w:p>
        </w:tc>
        <w:tc>
          <w:tcPr>
            <w:tcW w:type="dxa" w:w="850"/>
            <w:vAlign w:val="top"/>
            <w:tcMar>
              <w:top w:w="70" w:type="dxa"/>
              <w:start w:w="80" w:type="dxa"/>
              <w:bottom w:w="70" w:type="dxa"/>
              <w:end w:w="80" w:type="dxa"/>
            </w:tcMar>
          </w:tcPr>
          <w:p>
            <w:r>
              <w:rPr>
                <w:rFonts w:ascii="Arial" w:hAnsi="Arial" w:eastAsia="Arial"/>
                <w:sz w:val="15"/>
              </w:rPr>
              <w:t>24</w:t>
            </w:r>
          </w:p>
        </w:tc>
        <w:tc>
          <w:tcPr>
            <w:tcW w:type="dxa" w:w="1020"/>
            <w:vAlign w:val="top"/>
            <w:tcMar>
              <w:top w:w="70" w:type="dxa"/>
              <w:start w:w="80" w:type="dxa"/>
              <w:bottom w:w="70" w:type="dxa"/>
              <w:end w:w="80" w:type="dxa"/>
            </w:tcMar>
          </w:tcPr>
          <w:p>
            <w:r>
              <w:rPr>
                <w:rFonts w:ascii="Arial" w:hAnsi="Arial" w:eastAsia="Arial"/>
                <w:sz w:val="15"/>
              </w:rPr>
              <w:t>84,0</w:t>
            </w:r>
          </w:p>
        </w:tc>
        <w:tc>
          <w:tcPr>
            <w:tcW w:type="dxa" w:w="850"/>
            <w:vAlign w:val="top"/>
            <w:tcMar>
              <w:top w:w="70" w:type="dxa"/>
              <w:start w:w="80" w:type="dxa"/>
              <w:bottom w:w="70" w:type="dxa"/>
              <w:end w:w="80" w:type="dxa"/>
            </w:tcMar>
          </w:tcPr>
          <w:p>
            <w:r>
              <w:rPr>
                <w:rFonts w:ascii="Arial" w:hAnsi="Arial" w:eastAsia="Arial"/>
                <w:sz w:val="15"/>
              </w:rPr>
              <w:t>108,0</w:t>
            </w:r>
          </w:p>
        </w:tc>
        <w:tc>
          <w:tcPr>
            <w:tcW w:type="dxa" w:w="1191"/>
            <w:vAlign w:val="top"/>
            <w:tcMar>
              <w:top w:w="70" w:type="dxa"/>
              <w:start w:w="80" w:type="dxa"/>
              <w:bottom w:w="70" w:type="dxa"/>
              <w:end w:w="80" w:type="dxa"/>
            </w:tcMar>
          </w:tcPr>
          <w:p>
            <w:r>
              <w:rPr>
                <w:rFonts w:ascii="Arial" w:hAnsi="Arial" w:eastAsia="Arial"/>
                <w:sz w:val="15"/>
              </w:rPr>
              <w:t>+33,0</w:t>
            </w:r>
          </w:p>
        </w:tc>
      </w:tr>
      <w:tr>
        <w:trPr>
          <w:cantSplit/>
        </w:trPr>
        <w:tc>
          <w:tcPr>
            <w:tcW w:type="dxa" w:w="850"/>
            <w:vAlign w:val="top"/>
            <w:tcMar>
              <w:top w:w="70" w:type="dxa"/>
              <w:start w:w="80" w:type="dxa"/>
              <w:bottom w:w="70" w:type="dxa"/>
              <w:end w:w="80" w:type="dxa"/>
            </w:tcMar>
          </w:tcPr>
          <w:p>
            <w:r>
              <w:rPr>
                <w:rFonts w:ascii="Arial" w:hAnsi="Arial" w:eastAsia="Arial"/>
                <w:sz w:val="15"/>
              </w:rPr>
              <w:t>TRANS</w:t>
            </w:r>
          </w:p>
        </w:tc>
        <w:tc>
          <w:tcPr>
            <w:tcW w:type="dxa" w:w="624"/>
            <w:vAlign w:val="top"/>
            <w:tcMar>
              <w:top w:w="70" w:type="dxa"/>
              <w:start w:w="80" w:type="dxa"/>
              <w:bottom w:w="70" w:type="dxa"/>
              <w:end w:w="80" w:type="dxa"/>
            </w:tcMar>
          </w:tcPr>
          <w:p>
            <w:r>
              <w:rPr>
                <w:rFonts w:ascii="Arial" w:hAnsi="Arial" w:eastAsia="Arial"/>
                <w:sz w:val="15"/>
              </w:rPr>
              <w:t>B</w:t>
            </w:r>
          </w:p>
        </w:tc>
        <w:tc>
          <w:tcPr>
            <w:tcW w:type="dxa" w:w="850"/>
            <w:vAlign w:val="top"/>
            <w:tcMar>
              <w:top w:w="70" w:type="dxa"/>
              <w:start w:w="80" w:type="dxa"/>
              <w:bottom w:w="70" w:type="dxa"/>
              <w:end w:w="80" w:type="dxa"/>
            </w:tcMar>
          </w:tcPr>
          <w:p>
            <w:r>
              <w:rPr>
                <w:rFonts w:ascii="Arial" w:hAnsi="Arial" w:eastAsia="Arial"/>
                <w:sz w:val="15"/>
              </w:rPr>
              <w:t>250</w:t>
            </w:r>
          </w:p>
        </w:tc>
        <w:tc>
          <w:tcPr>
            <w:tcW w:type="dxa" w:w="850"/>
            <w:vAlign w:val="top"/>
            <w:tcMar>
              <w:top w:w="70" w:type="dxa"/>
              <w:start w:w="80" w:type="dxa"/>
              <w:bottom w:w="70" w:type="dxa"/>
              <w:end w:w="80" w:type="dxa"/>
            </w:tcMar>
          </w:tcPr>
          <w:p>
            <w:r>
              <w:rPr>
                <w:rFonts w:ascii="Arial" w:hAnsi="Arial" w:eastAsia="Arial"/>
                <w:sz w:val="15"/>
              </w:rPr>
              <w:t>70,0</w:t>
            </w:r>
          </w:p>
        </w:tc>
        <w:tc>
          <w:tcPr>
            <w:tcW w:type="dxa" w:w="850"/>
            <w:vAlign w:val="top"/>
            <w:tcMar>
              <w:top w:w="70" w:type="dxa"/>
              <w:start w:w="80" w:type="dxa"/>
              <w:bottom w:w="70" w:type="dxa"/>
              <w:end w:w="80" w:type="dxa"/>
            </w:tcMar>
          </w:tcPr>
          <w:p>
            <w:r>
              <w:rPr>
                <w:rFonts w:ascii="Arial" w:hAnsi="Arial" w:eastAsia="Arial"/>
                <w:sz w:val="15"/>
              </w:rPr>
              <w:t>180,4</w:t>
            </w:r>
          </w:p>
        </w:tc>
        <w:tc>
          <w:tcPr>
            <w:tcW w:type="dxa" w:w="850"/>
            <w:vAlign w:val="top"/>
            <w:tcMar>
              <w:top w:w="70" w:type="dxa"/>
              <w:start w:w="80" w:type="dxa"/>
              <w:bottom w:w="70" w:type="dxa"/>
              <w:end w:w="80" w:type="dxa"/>
            </w:tcMar>
          </w:tcPr>
          <w:p>
            <w:r>
              <w:rPr>
                <w:rFonts w:ascii="Arial" w:hAnsi="Arial" w:eastAsia="Arial"/>
                <w:sz w:val="15"/>
              </w:rPr>
              <w:t>36</w:t>
            </w:r>
          </w:p>
        </w:tc>
        <w:tc>
          <w:tcPr>
            <w:tcW w:type="dxa" w:w="1020"/>
            <w:vAlign w:val="top"/>
            <w:tcMar>
              <w:top w:w="70" w:type="dxa"/>
              <w:start w:w="80" w:type="dxa"/>
              <w:bottom w:w="70" w:type="dxa"/>
              <w:end w:w="80" w:type="dxa"/>
            </w:tcMar>
          </w:tcPr>
          <w:p>
            <w:r>
              <w:rPr>
                <w:rFonts w:ascii="Arial" w:hAnsi="Arial" w:eastAsia="Arial"/>
                <w:sz w:val="15"/>
              </w:rPr>
              <w:t>66,5</w:t>
            </w:r>
          </w:p>
        </w:tc>
        <w:tc>
          <w:tcPr>
            <w:tcW w:type="dxa" w:w="850"/>
            <w:vAlign w:val="top"/>
            <w:tcMar>
              <w:top w:w="70" w:type="dxa"/>
              <w:start w:w="80" w:type="dxa"/>
              <w:bottom w:w="70" w:type="dxa"/>
              <w:end w:w="80" w:type="dxa"/>
            </w:tcMar>
          </w:tcPr>
          <w:p>
            <w:r>
              <w:rPr>
                <w:rFonts w:ascii="Arial" w:hAnsi="Arial" w:eastAsia="Arial"/>
                <w:sz w:val="15"/>
              </w:rPr>
              <w:t>102,5</w:t>
            </w:r>
          </w:p>
        </w:tc>
        <w:tc>
          <w:tcPr>
            <w:tcW w:type="dxa" w:w="1191"/>
            <w:vAlign w:val="top"/>
            <w:tcMar>
              <w:top w:w="70" w:type="dxa"/>
              <w:start w:w="80" w:type="dxa"/>
              <w:bottom w:w="70" w:type="dxa"/>
              <w:end w:w="80" w:type="dxa"/>
            </w:tcMar>
          </w:tcPr>
          <w:p>
            <w:r>
              <w:rPr>
                <w:rFonts w:ascii="Arial" w:hAnsi="Arial" w:eastAsia="Arial"/>
                <w:sz w:val="15"/>
              </w:rPr>
              <w:t>+32,5</w:t>
            </w:r>
          </w:p>
        </w:tc>
      </w:tr>
      <w:tr>
        <w:trPr>
          <w:cantSplit/>
        </w:trPr>
        <w:tc>
          <w:tcPr>
            <w:tcW w:type="dxa" w:w="850"/>
            <w:vAlign w:val="top"/>
            <w:tcMar>
              <w:top w:w="70" w:type="dxa"/>
              <w:start w:w="80" w:type="dxa"/>
              <w:bottom w:w="70" w:type="dxa"/>
              <w:end w:w="80" w:type="dxa"/>
            </w:tcMar>
          </w:tcPr>
          <w:p>
            <w:r>
              <w:rPr>
                <w:rFonts w:ascii="Arial" w:hAnsi="Arial" w:eastAsia="Arial"/>
                <w:sz w:val="15"/>
              </w:rPr>
              <w:t>Итого</w:t>
            </w:r>
          </w:p>
        </w:tc>
        <w:tc>
          <w:tcPr>
            <w:tcW w:type="dxa" w:w="624"/>
            <w:vAlign w:val="top"/>
            <w:tcMar>
              <w:top w:w="70" w:type="dxa"/>
              <w:start w:w="80" w:type="dxa"/>
              <w:bottom w:w="70" w:type="dxa"/>
              <w:end w:w="80" w:type="dxa"/>
            </w:tcMar>
          </w:tcPr>
          <w:p>
            <w:r>
              <w:rPr>
                <w:rFonts w:ascii="Arial" w:hAnsi="Arial" w:eastAsia="Arial"/>
                <w:sz w:val="15"/>
              </w:rPr>
            </w:r>
          </w:p>
        </w:tc>
        <w:tc>
          <w:tcPr>
            <w:tcW w:type="dxa" w:w="850"/>
            <w:vAlign w:val="top"/>
            <w:tcMar>
              <w:top w:w="70" w:type="dxa"/>
              <w:start w:w="80" w:type="dxa"/>
              <w:bottom w:w="70" w:type="dxa"/>
              <w:end w:w="80" w:type="dxa"/>
            </w:tcMar>
          </w:tcPr>
          <w:p>
            <w:r>
              <w:rPr>
                <w:rFonts w:ascii="Arial" w:hAnsi="Arial" w:eastAsia="Arial"/>
                <w:sz w:val="15"/>
              </w:rPr>
              <w:t>1 140</w:t>
            </w:r>
          </w:p>
        </w:tc>
        <w:tc>
          <w:tcPr>
            <w:tcW w:type="dxa" w:w="850"/>
            <w:vAlign w:val="top"/>
            <w:tcMar>
              <w:top w:w="70" w:type="dxa"/>
              <w:start w:w="80" w:type="dxa"/>
              <w:bottom w:w="70" w:type="dxa"/>
              <w:end w:w="80" w:type="dxa"/>
            </w:tcMar>
          </w:tcPr>
          <w:p>
            <w:r>
              <w:rPr>
                <w:rFonts w:ascii="Arial" w:hAnsi="Arial" w:eastAsia="Arial"/>
                <w:sz w:val="15"/>
              </w:rPr>
              <w:t>313,0</w:t>
            </w:r>
          </w:p>
        </w:tc>
        <w:tc>
          <w:tcPr>
            <w:tcW w:type="dxa" w:w="850"/>
            <w:vAlign w:val="top"/>
            <w:tcMar>
              <w:top w:w="70" w:type="dxa"/>
              <w:start w:w="80" w:type="dxa"/>
              <w:bottom w:w="70" w:type="dxa"/>
              <w:end w:w="80" w:type="dxa"/>
            </w:tcMar>
          </w:tcPr>
          <w:p>
            <w:r>
              <w:rPr>
                <w:rFonts w:ascii="Arial" w:hAnsi="Arial" w:eastAsia="Arial"/>
                <w:sz w:val="15"/>
              </w:rPr>
              <w:t>1 289,0</w:t>
            </w:r>
          </w:p>
        </w:tc>
        <w:tc>
          <w:tcPr>
            <w:tcW w:type="dxa" w:w="850"/>
            <w:vAlign w:val="top"/>
            <w:tcMar>
              <w:top w:w="70" w:type="dxa"/>
              <w:start w:w="80" w:type="dxa"/>
              <w:bottom w:w="70" w:type="dxa"/>
              <w:end w:w="80" w:type="dxa"/>
            </w:tcMar>
          </w:tcPr>
          <w:p>
            <w:r>
              <w:rPr>
                <w:rFonts w:ascii="Arial" w:hAnsi="Arial" w:eastAsia="Arial"/>
                <w:sz w:val="15"/>
              </w:rPr>
              <w:t>190</w:t>
            </w:r>
          </w:p>
        </w:tc>
        <w:tc>
          <w:tcPr>
            <w:tcW w:type="dxa" w:w="1020"/>
            <w:vAlign w:val="top"/>
            <w:tcMar>
              <w:top w:w="70" w:type="dxa"/>
              <w:start w:w="80" w:type="dxa"/>
              <w:bottom w:w="70" w:type="dxa"/>
              <w:end w:w="80" w:type="dxa"/>
            </w:tcMar>
          </w:tcPr>
          <w:p>
            <w:r>
              <w:rPr>
                <w:rFonts w:ascii="Arial" w:hAnsi="Arial" w:eastAsia="Arial"/>
                <w:sz w:val="15"/>
              </w:rPr>
              <w:t>180,5</w:t>
            </w:r>
          </w:p>
        </w:tc>
        <w:tc>
          <w:tcPr>
            <w:tcW w:type="dxa" w:w="850"/>
            <w:vAlign w:val="top"/>
            <w:tcMar>
              <w:top w:w="70" w:type="dxa"/>
              <w:start w:w="80" w:type="dxa"/>
              <w:bottom w:w="70" w:type="dxa"/>
              <w:end w:w="80" w:type="dxa"/>
            </w:tcMar>
          </w:tcPr>
          <w:p>
            <w:r>
              <w:rPr>
                <w:rFonts w:ascii="Arial" w:hAnsi="Arial" w:eastAsia="Arial"/>
                <w:sz w:val="15"/>
              </w:rPr>
              <w:t>370,5</w:t>
            </w:r>
          </w:p>
        </w:tc>
        <w:tc>
          <w:tcPr>
            <w:tcW w:type="dxa" w:w="1191"/>
            <w:vAlign w:val="top"/>
            <w:tcMar>
              <w:top w:w="70" w:type="dxa"/>
              <w:start w:w="80" w:type="dxa"/>
              <w:bottom w:w="70" w:type="dxa"/>
              <w:end w:w="80" w:type="dxa"/>
            </w:tcMar>
          </w:tcPr>
          <w:p>
            <w:r>
              <w:rPr>
                <w:rFonts w:ascii="Arial" w:hAnsi="Arial" w:eastAsia="Arial"/>
                <w:sz w:val="15"/>
              </w:rPr>
              <w:t>+57,5</w:t>
            </w:r>
          </w:p>
        </w:tc>
      </w:tr>
    </w:tbl>
    <w:p>
      <w:pPr>
        <w:spacing w:after="0"/>
      </w:pPr>
    </w:p>
    <w:p>
      <w:r>
        <w:rPr>
          <w:rFonts w:ascii="Arial" w:hAnsi="Arial" w:eastAsia="Arial"/>
          <w:sz w:val="21"/>
        </w:rPr>
        <w:t>Денежная устойчивость оценивается на уровне портфеля единого оператора. FIRE и ENV по отдельности имеют годовой разрыв 5,5 и 2,5 млн руб. AGRI и TRANS дают положительный операционный запас 33 и 32,5 млн руб. Соответственно, общий портфельный баланс равен +57,5 млн руб./год. Это не бухгалтерская прибыль и не доказанная коммерческая окупаемость: cash — модельный денежный поток кейса.</w:t>
      </w:r>
    </w:p>
    <w:p>
      <w:r>
        <w:rPr>
          <w:rFonts w:ascii="Arial" w:hAnsi="Arial" w:eastAsia="Arial"/>
          <w:sz w:val="21"/>
        </w:rPr>
        <w:t>Общественная ценность vpub = 1 289 млн руб./год учитывается отдельно от cash. Она выражена в единицах шкалы кейса и не складывается с денежными поступлениями. После запуска фактическая полезность должна проверяться через журналы событий, время до решения, долю подтверждённых сигналов, охват и использование сервиса; конечный предотвращённый ущерб в текущей модели не рассчитывается.</w:t>
      </w:r>
    </w:p>
    <w:p>
      <w:pPr>
        <w:pStyle w:val="Heading1"/>
      </w:pPr>
      <w:r>
        <w:t>6. Финансирование и договорная схема</w:t>
      </w:r>
    </w:p>
    <w:p>
      <w:r>
        <w:rPr>
          <w:rFonts w:ascii="Arial" w:hAnsi="Arial" w:eastAsia="Arial"/>
          <w:sz w:val="21"/>
        </w:rPr>
        <w:t>Так как исходные материалы не назначают плательщика c0, команда приняла схему двух контуров финансирования. Она является управленческим допущением и не меняет канонические расчёты.</w:t>
      </w:r>
    </w:p>
    <w:tbl>
      <w:tblPr>
        <w:tblStyle w:val="TableGrid"/>
        <w:tblW w:type="auto" w:w="0"/>
        <w:jc w:val="center"/>
        <w:tblLook w:firstColumn="1" w:firstRow="1" w:lastColumn="0" w:lastRow="0" w:noHBand="0" w:noVBand="1" w:val="04A0"/>
      </w:tblPr>
      <w:tblGrid>
        <w:gridCol w:w="2017"/>
        <w:gridCol w:w="2017"/>
        <w:gridCol w:w="2017"/>
        <w:gridCol w:w="2017"/>
        <w:gridCol w:w="2017"/>
      </w:tblGrid>
      <w:tr>
        <w:trPr>
          <w:tblHeader w:val="true"/>
          <w:cantSplit/>
        </w:trPr>
        <w:tc>
          <w:tcPr>
            <w:tcW w:type="dxa" w:w="1191"/>
            <w:shd w:fill="D9D9D9"/>
            <w:vAlign w:val="center"/>
            <w:tcMar>
              <w:top w:w="70" w:type="dxa"/>
              <w:start w:w="80" w:type="dxa"/>
              <w:bottom w:w="70" w:type="dxa"/>
              <w:end w:w="80" w:type="dxa"/>
            </w:tcMar>
          </w:tcPr>
          <w:p>
            <w:pPr>
              <w:jc w:val="center"/>
            </w:pPr>
            <w:r>
              <w:rPr>
                <w:rFonts w:ascii="Arial" w:hAnsi="Arial" w:eastAsia="Arial"/>
                <w:b/>
                <w:sz w:val="16"/>
              </w:rPr>
              <w:t>Контур</w:t>
            </w:r>
          </w:p>
        </w:tc>
        <w:tc>
          <w:tcPr>
            <w:tcW w:type="dxa" w:w="1247"/>
            <w:shd w:fill="D9D9D9"/>
            <w:vAlign w:val="center"/>
            <w:tcMar>
              <w:top w:w="70" w:type="dxa"/>
              <w:start w:w="80" w:type="dxa"/>
              <w:bottom w:w="70" w:type="dxa"/>
              <w:end w:w="80" w:type="dxa"/>
            </w:tcMar>
          </w:tcPr>
          <w:p>
            <w:pPr>
              <w:jc w:val="center"/>
            </w:pPr>
            <w:r>
              <w:rPr>
                <w:rFonts w:ascii="Arial" w:hAnsi="Arial" w:eastAsia="Arial"/>
                <w:b/>
                <w:sz w:val="16"/>
              </w:rPr>
              <w:t>Лоты</w:t>
            </w:r>
          </w:p>
        </w:tc>
        <w:tc>
          <w:tcPr>
            <w:tcW w:type="dxa" w:w="1134"/>
            <w:shd w:fill="D9D9D9"/>
            <w:vAlign w:val="center"/>
            <w:tcMar>
              <w:top w:w="70" w:type="dxa"/>
              <w:start w:w="80" w:type="dxa"/>
              <w:bottom w:w="70" w:type="dxa"/>
              <w:end w:w="80" w:type="dxa"/>
            </w:tcMar>
          </w:tcPr>
          <w:p>
            <w:pPr>
              <w:jc w:val="center"/>
            </w:pPr>
            <w:r>
              <w:rPr>
                <w:rFonts w:ascii="Arial" w:hAnsi="Arial" w:eastAsia="Arial"/>
                <w:b/>
                <w:sz w:val="16"/>
              </w:rPr>
              <w:t>c0</w:t>
            </w:r>
          </w:p>
        </w:tc>
        <w:tc>
          <w:tcPr>
            <w:tcW w:type="dxa" w:w="3005"/>
            <w:shd w:fill="D9D9D9"/>
            <w:vAlign w:val="center"/>
            <w:tcMar>
              <w:top w:w="70" w:type="dxa"/>
              <w:start w:w="80" w:type="dxa"/>
              <w:bottom w:w="70" w:type="dxa"/>
              <w:end w:w="80" w:type="dxa"/>
            </w:tcMar>
          </w:tcPr>
          <w:p>
            <w:pPr>
              <w:jc w:val="center"/>
            </w:pPr>
            <w:r>
              <w:rPr>
                <w:rFonts w:ascii="Arial" w:hAnsi="Arial" w:eastAsia="Arial"/>
                <w:b/>
                <w:sz w:val="16"/>
              </w:rPr>
              <w:t>Предлагаемый инструмент</w:t>
            </w:r>
          </w:p>
        </w:tc>
        <w:tc>
          <w:tcPr>
            <w:tcW w:type="dxa" w:w="2324"/>
            <w:shd w:fill="D9D9D9"/>
            <w:vAlign w:val="center"/>
            <w:tcMar>
              <w:top w:w="70" w:type="dxa"/>
              <w:start w:w="80" w:type="dxa"/>
              <w:bottom w:w="70" w:type="dxa"/>
              <w:end w:w="80" w:type="dxa"/>
            </w:tcMar>
          </w:tcPr>
          <w:p>
            <w:pPr>
              <w:jc w:val="center"/>
            </w:pPr>
            <w:r>
              <w:rPr>
                <w:rFonts w:ascii="Arial" w:hAnsi="Arial" w:eastAsia="Arial"/>
                <w:b/>
                <w:sz w:val="16"/>
              </w:rPr>
              <w:t>Логика</w:t>
            </w:r>
          </w:p>
        </w:tc>
      </w:tr>
      <w:tr>
        <w:trPr>
          <w:cantSplit/>
        </w:trPr>
        <w:tc>
          <w:tcPr>
            <w:tcW w:type="dxa" w:w="1191"/>
            <w:vAlign w:val="top"/>
            <w:tcMar>
              <w:top w:w="70" w:type="dxa"/>
              <w:start w:w="80" w:type="dxa"/>
              <w:bottom w:w="70" w:type="dxa"/>
              <w:end w:w="80" w:type="dxa"/>
            </w:tcMar>
          </w:tcPr>
          <w:p>
            <w:r>
              <w:rPr>
                <w:rFonts w:ascii="Arial" w:hAnsi="Arial" w:eastAsia="Arial"/>
                <w:sz w:val="16"/>
              </w:rPr>
              <w:t>Бюджетный</w:t>
            </w:r>
          </w:p>
        </w:tc>
        <w:tc>
          <w:tcPr>
            <w:tcW w:type="dxa" w:w="1247"/>
            <w:vAlign w:val="top"/>
            <w:tcMar>
              <w:top w:w="70" w:type="dxa"/>
              <w:start w:w="80" w:type="dxa"/>
              <w:bottom w:w="70" w:type="dxa"/>
              <w:end w:w="80" w:type="dxa"/>
            </w:tcMar>
          </w:tcPr>
          <w:p>
            <w:r>
              <w:rPr>
                <w:rFonts w:ascii="Arial" w:hAnsi="Arial" w:eastAsia="Arial"/>
                <w:sz w:val="16"/>
              </w:rPr>
              <w:t>FIRE, ENV</w:t>
            </w:r>
          </w:p>
        </w:tc>
        <w:tc>
          <w:tcPr>
            <w:tcW w:type="dxa" w:w="1134"/>
            <w:vAlign w:val="top"/>
            <w:tcMar>
              <w:top w:w="70" w:type="dxa"/>
              <w:start w:w="80" w:type="dxa"/>
              <w:bottom w:w="70" w:type="dxa"/>
              <w:end w:w="80" w:type="dxa"/>
            </w:tcMar>
          </w:tcPr>
          <w:p>
            <w:r>
              <w:rPr>
                <w:rFonts w:ascii="Arial" w:hAnsi="Arial" w:eastAsia="Arial"/>
                <w:sz w:val="16"/>
              </w:rPr>
              <w:t>630 млн руб.</w:t>
            </w:r>
          </w:p>
        </w:tc>
        <w:tc>
          <w:tcPr>
            <w:tcW w:type="dxa" w:w="3005"/>
            <w:vAlign w:val="top"/>
            <w:tcMar>
              <w:top w:w="70" w:type="dxa"/>
              <w:start w:w="80" w:type="dxa"/>
              <w:bottom w:w="70" w:type="dxa"/>
              <w:end w:w="80" w:type="dxa"/>
            </w:tcMar>
          </w:tcPr>
          <w:p>
            <w:r>
              <w:rPr>
                <w:rFonts w:ascii="Arial" w:hAnsi="Arial" w:eastAsia="Arial"/>
                <w:sz w:val="16"/>
              </w:rPr>
              <w:t>Госконтракт на услугу; федеральное/региональное софинансирование. Для FIRE дополнительно рассматривается межрегиональное соглашение.</w:t>
            </w:r>
          </w:p>
        </w:tc>
        <w:tc>
          <w:tcPr>
            <w:tcW w:type="dxa" w:w="2324"/>
            <w:vAlign w:val="top"/>
            <w:tcMar>
              <w:top w:w="70" w:type="dxa"/>
              <w:start w:w="80" w:type="dxa"/>
              <w:bottom w:w="70" w:type="dxa"/>
              <w:end w:w="80" w:type="dxa"/>
            </w:tcMar>
          </w:tcPr>
          <w:p>
            <w:r>
              <w:rPr>
                <w:rFonts w:ascii="Arial" w:hAnsi="Arial" w:eastAsia="Arial"/>
                <w:sz w:val="16"/>
              </w:rPr>
              <w:t>Public core и низкая коммерческая компонента.</w:t>
            </w:r>
          </w:p>
        </w:tc>
      </w:tr>
      <w:tr>
        <w:trPr>
          <w:cantSplit/>
        </w:trPr>
        <w:tc>
          <w:tcPr>
            <w:tcW w:type="dxa" w:w="1191"/>
            <w:vAlign w:val="top"/>
            <w:tcMar>
              <w:top w:w="70" w:type="dxa"/>
              <w:start w:w="80" w:type="dxa"/>
              <w:bottom w:w="70" w:type="dxa"/>
              <w:end w:w="80" w:type="dxa"/>
            </w:tcMar>
          </w:tcPr>
          <w:p>
            <w:r>
              <w:rPr>
                <w:rFonts w:ascii="Arial" w:hAnsi="Arial" w:eastAsia="Arial"/>
                <w:sz w:val="16"/>
              </w:rPr>
              <w:t>Частный / ГЧП</w:t>
            </w:r>
          </w:p>
        </w:tc>
        <w:tc>
          <w:tcPr>
            <w:tcW w:type="dxa" w:w="1247"/>
            <w:vAlign w:val="top"/>
            <w:tcMar>
              <w:top w:w="70" w:type="dxa"/>
              <w:start w:w="80" w:type="dxa"/>
              <w:bottom w:w="70" w:type="dxa"/>
              <w:end w:w="80" w:type="dxa"/>
            </w:tcMar>
          </w:tcPr>
          <w:p>
            <w:r>
              <w:rPr>
                <w:rFonts w:ascii="Arial" w:hAnsi="Arial" w:eastAsia="Arial"/>
                <w:sz w:val="16"/>
              </w:rPr>
              <w:t>AGRI, TRANS</w:t>
            </w:r>
          </w:p>
        </w:tc>
        <w:tc>
          <w:tcPr>
            <w:tcW w:type="dxa" w:w="1134"/>
            <w:vAlign w:val="top"/>
            <w:tcMar>
              <w:top w:w="70" w:type="dxa"/>
              <w:start w:w="80" w:type="dxa"/>
              <w:bottom w:w="70" w:type="dxa"/>
              <w:end w:w="80" w:type="dxa"/>
            </w:tcMar>
          </w:tcPr>
          <w:p>
            <w:r>
              <w:rPr>
                <w:rFonts w:ascii="Arial" w:hAnsi="Arial" w:eastAsia="Arial"/>
                <w:sz w:val="16"/>
              </w:rPr>
              <w:t>510 млн руб.</w:t>
            </w:r>
          </w:p>
        </w:tc>
        <w:tc>
          <w:tcPr>
            <w:tcW w:type="dxa" w:w="3005"/>
            <w:vAlign w:val="top"/>
            <w:tcMar>
              <w:top w:w="70" w:type="dxa"/>
              <w:start w:w="80" w:type="dxa"/>
              <w:bottom w:w="70" w:type="dxa"/>
              <w:end w:w="80" w:type="dxa"/>
            </w:tcMar>
          </w:tcPr>
          <w:p>
            <w:r>
              <w:rPr>
                <w:rFonts w:ascii="Arial" w:hAnsi="Arial" w:eastAsia="Arial"/>
                <w:sz w:val="16"/>
              </w:rPr>
              <w:t>Соглашение о ГЧП с якорной платой публичного партнёра и коммерческой выручкой.</w:t>
            </w:r>
          </w:p>
        </w:tc>
        <w:tc>
          <w:tcPr>
            <w:tcW w:type="dxa" w:w="2324"/>
            <w:vAlign w:val="top"/>
            <w:tcMar>
              <w:top w:w="70" w:type="dxa"/>
              <w:start w:w="80" w:type="dxa"/>
              <w:bottom w:w="70" w:type="dxa"/>
              <w:end w:w="80" w:type="dxa"/>
            </w:tcMar>
          </w:tcPr>
          <w:p>
            <w:r>
              <w:rPr>
                <w:rFonts w:ascii="Arial" w:hAnsi="Arial" w:eastAsia="Arial"/>
                <w:sz w:val="16"/>
              </w:rPr>
              <w:t>Положительный годовой операционный поток и платные прикладные функции.</w:t>
            </w:r>
          </w:p>
        </w:tc>
      </w:tr>
    </w:tbl>
    <w:p>
      <w:pPr>
        <w:spacing w:after="0"/>
      </w:pPr>
    </w:p>
    <w:p>
      <w:r>
        <w:rPr>
          <w:rFonts w:ascii="Arial" w:hAnsi="Arial" w:eastAsia="Arial"/>
          <w:sz w:val="21"/>
        </w:rPr>
        <w:t>Предлагаемые якорные плательщики: для FIRE — МЧС, для ENV — Минприроды, для AGRI — Минсельхоз, для дорожной части TRANS — Росавтодор. Это рабочие гипотезы, а не подтверждённые заказчики. Коммерческие пользователи AGRI и TRANS — хозяйства, кооперативы, страховщики, транспортные операторы и перевозчики; для FIRE и ENV коммерческая часть меньше и относится к расширениям, истории, интеграциям и аналитике объектов.</w:t>
      </w:r>
    </w:p>
    <w:p>
      <w:r>
        <w:rPr>
          <w:rFonts w:ascii="Arial" w:hAnsi="Arial" w:eastAsia="Arial"/>
          <w:sz w:val="21"/>
        </w:rPr>
        <w:t xml:space="preserve">Основания договорной схемы. Kawai и Hanaoka (2025) связывают выбор модели ГЧП с шестью индикаторами — национальные цели, предпочтения в роли государства, регуляторная структура, доступ к капиталу, возможности частного сектора и коммерческий спрос — и на материале США, Японии, Индии и ОАЭ показывают, что модели с высокой автономией частного партнёра возникают только при системном совпадении институциональных, финансовых и рыночных условий. Поэтому автономия частного партнёра предполагается только для AGRI и TRANS, где есть коммерческая компонента, а FIRE и ENV остаются в бюджетном контуре. Takata и Hidaka (2025) описывают тип ГЧП, построенный на двустороннем взаимодействии и совместном создании, что соответствует роли единого оператора. Zancan и др. (2026) разбирают условия выбора закупочных стратегий космическими агентствами. Заварухин и др. (2021) на опыте США и Великобритании указывают на недостаточный уровень высокотехнологичного производства и административные барьеры, поэтому прямой перенос зарубежных механизмов здесь не предполагается. Payson (2026) объединяет рамку экономических благ и Total Economic Value; это основание для раздельного учёта общественной ценности и денежного потока.</w:t>
      </w:r>
    </w:p>
    <w:p>
      <w:pPr/>
      <w:r>
        <w:rPr>
          <w:rFonts w:ascii="Arial" w:hAnsi="Arial" w:eastAsia="Arial"/>
          <w:sz w:val="21"/>
        </w:rPr>
        <w:t>Для AGRI и TRANS семилетний аналитический горизонт не возвращает частный c0 простым недисконтированным потоком: AGRI формирует 231 млн руб. против c0 260, TRANS — 227,5 против 250. Поэтому команда принимает как проектное допущение договорный срок ГЧП не менее 10 лет с момента запуска прикладного слоя: при ориентировочном старте в 2029 году — до 2038 года включительно, с опционом продления. За 10 лет простой поток составляет 330 млн руб. для AGRI и 325 млн руб. для TRANS. Налоги, дисконтирование и стоимость капитала не учтены; следовательно, эти числа нельзя трактовать как NPV или доказанную доходность.</w:t>
      </w:r>
    </w:p>
    <w:p>
      <w:pPr>
        <w:pStyle w:val="Heading2"/>
      </w:pPr>
      <w:r>
        <w:t>6.1. Карта участников и потоков</w:t>
      </w:r>
    </w:p>
    <w:tbl>
      <w:tblPr>
        <w:tblStyle w:val="TableGrid"/>
        <w:tblW w:type="auto" w:w="0"/>
        <w:jc w:val="center"/>
        <w:tblLook w:firstColumn="1" w:firstRow="1" w:lastColumn="0" w:lastRow="0" w:noHBand="0" w:noVBand="1" w:val="04A0"/>
      </w:tblPr>
      <w:tblGrid>
        <w:gridCol w:w="3362"/>
        <w:gridCol w:w="3362"/>
        <w:gridCol w:w="3362"/>
      </w:tblGrid>
      <w:tr>
        <w:trPr>
          <w:tblHeader w:val="true"/>
          <w:cantSplit/>
        </w:trPr>
        <w:tc>
          <w:tcPr>
            <w:tcW w:type="dxa" w:w="1928"/>
            <w:shd w:fill="D9D9D9"/>
            <w:vAlign w:val="center"/>
            <w:tcMar>
              <w:top w:w="70" w:type="dxa"/>
              <w:start w:w="80" w:type="dxa"/>
              <w:bottom w:w="70" w:type="dxa"/>
              <w:end w:w="80" w:type="dxa"/>
            </w:tcMar>
          </w:tcPr>
          <w:p>
            <w:pPr>
              <w:jc w:val="center"/>
            </w:pPr>
            <w:r>
              <w:rPr>
                <w:rFonts w:ascii="Arial" w:hAnsi="Arial" w:eastAsia="Arial"/>
                <w:b/>
                <w:sz w:val="16"/>
              </w:rPr>
              <w:t>Участник</w:t>
            </w:r>
          </w:p>
        </w:tc>
        <w:tc>
          <w:tcPr>
            <w:tcW w:type="dxa" w:w="3742"/>
            <w:shd w:fill="D9D9D9"/>
            <w:vAlign w:val="center"/>
            <w:tcMar>
              <w:top w:w="70" w:type="dxa"/>
              <w:start w:w="80" w:type="dxa"/>
              <w:bottom w:w="70" w:type="dxa"/>
              <w:end w:w="80" w:type="dxa"/>
            </w:tcMar>
          </w:tcPr>
          <w:p>
            <w:pPr>
              <w:jc w:val="center"/>
            </w:pPr>
            <w:r>
              <w:rPr>
                <w:rFonts w:ascii="Arial" w:hAnsi="Arial" w:eastAsia="Arial"/>
                <w:b/>
                <w:sz w:val="16"/>
              </w:rPr>
              <w:t>Роль</w:t>
            </w:r>
          </w:p>
        </w:tc>
        <w:tc>
          <w:tcPr>
            <w:tcW w:type="dxa" w:w="3402"/>
            <w:shd w:fill="D9D9D9"/>
            <w:vAlign w:val="center"/>
            <w:tcMar>
              <w:top w:w="70" w:type="dxa"/>
              <w:start w:w="80" w:type="dxa"/>
              <w:bottom w:w="70" w:type="dxa"/>
              <w:end w:w="80" w:type="dxa"/>
            </w:tcMar>
          </w:tcPr>
          <w:p>
            <w:pPr>
              <w:jc w:val="center"/>
            </w:pPr>
            <w:r>
              <w:rPr>
                <w:rFonts w:ascii="Arial" w:hAnsi="Arial" w:eastAsia="Arial"/>
                <w:b/>
                <w:sz w:val="16"/>
              </w:rPr>
              <w:t>Основной поток / обязательство</w:t>
            </w:r>
          </w:p>
        </w:tc>
      </w:tr>
      <w:tr>
        <w:trPr>
          <w:cantSplit/>
        </w:trPr>
        <w:tc>
          <w:tcPr>
            <w:tcW w:type="dxa" w:w="1928"/>
            <w:vAlign w:val="top"/>
            <w:tcMar>
              <w:top w:w="70" w:type="dxa"/>
              <w:start w:w="80" w:type="dxa"/>
              <w:bottom w:w="70" w:type="dxa"/>
              <w:end w:w="80" w:type="dxa"/>
            </w:tcMar>
          </w:tcPr>
          <w:p>
            <w:r>
              <w:rPr>
                <w:rFonts w:ascii="Arial" w:hAnsi="Arial" w:eastAsia="Arial"/>
                <w:sz w:val="16"/>
              </w:rPr>
              <w:t>Межрегиональный заказчик</w:t>
            </w:r>
          </w:p>
        </w:tc>
        <w:tc>
          <w:tcPr>
            <w:tcW w:type="dxa" w:w="3742"/>
            <w:vAlign w:val="top"/>
            <w:tcMar>
              <w:top w:w="70" w:type="dxa"/>
              <w:start w:w="80" w:type="dxa"/>
              <w:bottom w:w="70" w:type="dxa"/>
              <w:end w:w="80" w:type="dxa"/>
            </w:tcMar>
          </w:tcPr>
          <w:p>
            <w:r>
              <w:rPr>
                <w:rFonts w:ascii="Arial" w:hAnsi="Arial" w:eastAsia="Arial"/>
                <w:sz w:val="16"/>
              </w:rPr>
              <w:t>Задаёт цели, каталог сервисов, правила доступа, SLA и порядок смены поставщика.</w:t>
            </w:r>
          </w:p>
        </w:tc>
        <w:tc>
          <w:tcPr>
            <w:tcW w:type="dxa" w:w="3402"/>
            <w:vAlign w:val="top"/>
            <w:tcMar>
              <w:top w:w="70" w:type="dxa"/>
              <w:start w:w="80" w:type="dxa"/>
              <w:bottom w:w="70" w:type="dxa"/>
              <w:end w:w="80" w:type="dxa"/>
            </w:tcMar>
          </w:tcPr>
          <w:p>
            <w:r>
              <w:rPr>
                <w:rFonts w:ascii="Arial" w:hAnsi="Arial" w:eastAsia="Arial"/>
                <w:sz w:val="16"/>
              </w:rPr>
              <w:t>Формирует требования; утверждает портфель и изменения.</w:t>
            </w:r>
          </w:p>
        </w:tc>
      </w:tr>
      <w:tr>
        <w:trPr>
          <w:cantSplit/>
        </w:trPr>
        <w:tc>
          <w:tcPr>
            <w:tcW w:type="dxa" w:w="1928"/>
            <w:vAlign w:val="top"/>
            <w:tcMar>
              <w:top w:w="70" w:type="dxa"/>
              <w:start w:w="80" w:type="dxa"/>
              <w:bottom w:w="70" w:type="dxa"/>
              <w:end w:w="80" w:type="dxa"/>
            </w:tcMar>
          </w:tcPr>
          <w:p>
            <w:r>
              <w:rPr>
                <w:rFonts w:ascii="Arial" w:hAnsi="Arial" w:eastAsia="Arial"/>
                <w:sz w:val="16"/>
              </w:rPr>
              <w:t>Публичные заказчики</w:t>
            </w:r>
          </w:p>
        </w:tc>
        <w:tc>
          <w:tcPr>
            <w:tcW w:type="dxa" w:w="3742"/>
            <w:vAlign w:val="top"/>
            <w:tcMar>
              <w:top w:w="70" w:type="dxa"/>
              <w:start w:w="80" w:type="dxa"/>
              <w:bottom w:w="70" w:type="dxa"/>
              <w:end w:w="80" w:type="dxa"/>
            </w:tcMar>
          </w:tcPr>
          <w:p>
            <w:r>
              <w:rPr>
                <w:rFonts w:ascii="Arial" w:hAnsi="Arial" w:eastAsia="Arial"/>
                <w:sz w:val="16"/>
              </w:rPr>
              <w:t>Якорные плательщики и принимающие стороны для публичных функций.</w:t>
            </w:r>
          </w:p>
        </w:tc>
        <w:tc>
          <w:tcPr>
            <w:tcW w:type="dxa" w:w="3402"/>
            <w:vAlign w:val="top"/>
            <w:tcMar>
              <w:top w:w="70" w:type="dxa"/>
              <w:start w:w="80" w:type="dxa"/>
              <w:bottom w:w="70" w:type="dxa"/>
              <w:end w:w="80" w:type="dxa"/>
            </w:tcMar>
          </w:tcPr>
          <w:p>
            <w:r>
              <w:rPr>
                <w:rFonts w:ascii="Arial" w:hAnsi="Arial" w:eastAsia="Arial"/>
                <w:sz w:val="16"/>
              </w:rPr>
              <w:t>Anchor cash; приёмка базового/агрегированного слоя.</w:t>
            </w:r>
          </w:p>
        </w:tc>
      </w:tr>
      <w:tr>
        <w:trPr>
          <w:cantSplit/>
        </w:trPr>
        <w:tc>
          <w:tcPr>
            <w:tcW w:type="dxa" w:w="1928"/>
            <w:vAlign w:val="top"/>
            <w:tcMar>
              <w:top w:w="70" w:type="dxa"/>
              <w:start w:w="80" w:type="dxa"/>
              <w:bottom w:w="70" w:type="dxa"/>
              <w:end w:w="80" w:type="dxa"/>
            </w:tcMar>
          </w:tcPr>
          <w:p>
            <w:r>
              <w:rPr>
                <w:rFonts w:ascii="Arial" w:hAnsi="Arial" w:eastAsia="Arial"/>
                <w:sz w:val="16"/>
              </w:rPr>
              <w:t>Единый оператор</w:t>
            </w:r>
          </w:p>
        </w:tc>
        <w:tc>
          <w:tcPr>
            <w:tcW w:type="dxa" w:w="3742"/>
            <w:vAlign w:val="top"/>
            <w:tcMar>
              <w:top w:w="70" w:type="dxa"/>
              <w:start w:w="80" w:type="dxa"/>
              <w:bottom w:w="70" w:type="dxa"/>
              <w:end w:w="80" w:type="dxa"/>
            </w:tcMar>
          </w:tcPr>
          <w:p>
            <w:r>
              <w:rPr>
                <w:rFonts w:ascii="Arial" w:hAnsi="Arial" w:eastAsia="Arial"/>
                <w:sz w:val="16"/>
              </w:rPr>
              <w:t>Управляет доступом, SLA, журналами, интеграциями и поддержкой.</w:t>
            </w:r>
          </w:p>
        </w:tc>
        <w:tc>
          <w:tcPr>
            <w:tcW w:type="dxa" w:w="3402"/>
            <w:vAlign w:val="top"/>
            <w:tcMar>
              <w:top w:w="70" w:type="dxa"/>
              <w:start w:w="80" w:type="dxa"/>
              <w:bottom w:w="70" w:type="dxa"/>
              <w:end w:w="80" w:type="dxa"/>
            </w:tcMar>
          </w:tcPr>
          <w:p>
            <w:r>
              <w:rPr>
                <w:rFonts w:ascii="Arial" w:hAnsi="Arial" w:eastAsia="Arial"/>
                <w:sz w:val="16"/>
              </w:rPr>
              <w:t>Получает денежные потоки; оплачивает поставщиков; несёт сквозное обязательство по сервису.</w:t>
            </w:r>
          </w:p>
        </w:tc>
      </w:tr>
      <w:tr>
        <w:trPr>
          <w:cantSplit/>
        </w:trPr>
        <w:tc>
          <w:tcPr>
            <w:tcW w:type="dxa" w:w="1928"/>
            <w:vAlign w:val="top"/>
            <w:tcMar>
              <w:top w:w="70" w:type="dxa"/>
              <w:start w:w="80" w:type="dxa"/>
              <w:bottom w:w="70" w:type="dxa"/>
              <w:end w:w="80" w:type="dxa"/>
            </w:tcMar>
          </w:tcPr>
          <w:p>
            <w:r>
              <w:rPr>
                <w:rFonts w:ascii="Arial" w:hAnsi="Arial" w:eastAsia="Arial"/>
                <w:sz w:val="16"/>
              </w:rPr>
              <w:t>Поставщики данных и аналитики</w:t>
            </w:r>
          </w:p>
        </w:tc>
        <w:tc>
          <w:tcPr>
            <w:tcW w:type="dxa" w:w="3742"/>
            <w:vAlign w:val="top"/>
            <w:tcMar>
              <w:top w:w="70" w:type="dxa"/>
              <w:start w:w="80" w:type="dxa"/>
              <w:bottom w:w="70" w:type="dxa"/>
              <w:end w:w="80" w:type="dxa"/>
            </w:tcMar>
          </w:tcPr>
          <w:p>
            <w:r>
              <w:rPr>
                <w:rFonts w:ascii="Arial" w:hAnsi="Arial" w:eastAsia="Arial"/>
                <w:sz w:val="16"/>
              </w:rPr>
              <w:t>Поставляют данные и обработку по открытым спецификациям.</w:t>
            </w:r>
          </w:p>
        </w:tc>
        <w:tc>
          <w:tcPr>
            <w:tcW w:type="dxa" w:w="3402"/>
            <w:vAlign w:val="top"/>
            <w:tcMar>
              <w:top w:w="70" w:type="dxa"/>
              <w:start w:w="80" w:type="dxa"/>
              <w:bottom w:w="70" w:type="dxa"/>
              <w:end w:w="80" w:type="dxa"/>
            </w:tcMar>
          </w:tcPr>
          <w:p>
            <w:r>
              <w:rPr>
                <w:rFonts w:ascii="Arial" w:hAnsi="Arial" w:eastAsia="Arial"/>
                <w:sz w:val="16"/>
              </w:rPr>
              <w:t>Оплата по контракту; обязанность экспорта и передачи истории.</w:t>
            </w:r>
          </w:p>
        </w:tc>
      </w:tr>
      <w:tr>
        <w:trPr>
          <w:cantSplit/>
        </w:trPr>
        <w:tc>
          <w:tcPr>
            <w:tcW w:type="dxa" w:w="1928"/>
            <w:vAlign w:val="top"/>
            <w:tcMar>
              <w:top w:w="70" w:type="dxa"/>
              <w:start w:w="80" w:type="dxa"/>
              <w:bottom w:w="70" w:type="dxa"/>
              <w:end w:w="80" w:type="dxa"/>
            </w:tcMar>
          </w:tcPr>
          <w:p>
            <w:r>
              <w:rPr>
                <w:rFonts w:ascii="Arial" w:hAnsi="Arial" w:eastAsia="Arial"/>
                <w:sz w:val="16"/>
              </w:rPr>
              <w:t>Коммерческие пользователи</w:t>
            </w:r>
          </w:p>
        </w:tc>
        <w:tc>
          <w:tcPr>
            <w:tcW w:type="dxa" w:w="3742"/>
            <w:vAlign w:val="top"/>
            <w:tcMar>
              <w:top w:w="70" w:type="dxa"/>
              <w:start w:w="80" w:type="dxa"/>
              <w:bottom w:w="70" w:type="dxa"/>
              <w:end w:w="80" w:type="dxa"/>
            </w:tcMar>
          </w:tcPr>
          <w:p>
            <w:r>
              <w:rPr>
                <w:rFonts w:ascii="Arial" w:hAnsi="Arial" w:eastAsia="Arial"/>
                <w:sz w:val="16"/>
              </w:rPr>
              <w:t>Покупают детальную аналитику своих объектов/территорий и интеграции.</w:t>
            </w:r>
          </w:p>
        </w:tc>
        <w:tc>
          <w:tcPr>
            <w:tcW w:type="dxa" w:w="3402"/>
            <w:vAlign w:val="top"/>
            <w:tcMar>
              <w:top w:w="70" w:type="dxa"/>
              <w:start w:w="80" w:type="dxa"/>
              <w:bottom w:w="70" w:type="dxa"/>
              <w:end w:w="80" w:type="dxa"/>
            </w:tcMar>
          </w:tcPr>
          <w:p>
            <w:r>
              <w:rPr>
                <w:rFonts w:ascii="Arial" w:hAnsi="Arial" w:eastAsia="Arial"/>
                <w:sz w:val="16"/>
              </w:rPr>
              <w:t>Commercial cash.</w:t>
            </w:r>
          </w:p>
        </w:tc>
      </w:tr>
      <w:tr>
        <w:trPr>
          <w:cantSplit/>
        </w:trPr>
        <w:tc>
          <w:tcPr>
            <w:tcW w:type="dxa" w:w="1928"/>
            <w:vAlign w:val="top"/>
            <w:tcMar>
              <w:top w:w="70" w:type="dxa"/>
              <w:start w:w="80" w:type="dxa"/>
              <w:bottom w:w="70" w:type="dxa"/>
              <w:end w:w="80" w:type="dxa"/>
            </w:tcMar>
          </w:tcPr>
          <w:p>
            <w:r>
              <w:rPr>
                <w:rFonts w:ascii="Arial" w:hAnsi="Arial" w:eastAsia="Arial"/>
                <w:sz w:val="16"/>
              </w:rPr>
              <w:t>Региональная принимающая сторона</w:t>
            </w:r>
          </w:p>
        </w:tc>
        <w:tc>
          <w:tcPr>
            <w:tcW w:type="dxa" w:w="3742"/>
            <w:vAlign w:val="top"/>
            <w:tcMar>
              <w:top w:w="70" w:type="dxa"/>
              <w:start w:w="80" w:type="dxa"/>
              <w:bottom w:w="70" w:type="dxa"/>
              <w:end w:w="80" w:type="dxa"/>
            </w:tcMar>
          </w:tcPr>
          <w:p>
            <w:r>
              <w:rPr>
                <w:rFonts w:ascii="Arial" w:hAnsi="Arial" w:eastAsia="Arial"/>
                <w:sz w:val="16"/>
              </w:rPr>
              <w:t>Проверяет применимость результата и фиксирует действие пользователя.</w:t>
            </w:r>
          </w:p>
        </w:tc>
        <w:tc>
          <w:tcPr>
            <w:tcW w:type="dxa" w:w="3402"/>
            <w:vAlign w:val="top"/>
            <w:tcMar>
              <w:top w:w="70" w:type="dxa"/>
              <w:start w:w="80" w:type="dxa"/>
              <w:bottom w:w="70" w:type="dxa"/>
              <w:end w:w="80" w:type="dxa"/>
            </w:tcMar>
          </w:tcPr>
          <w:p>
            <w:r>
              <w:rPr>
                <w:rFonts w:ascii="Arial" w:hAnsi="Arial" w:eastAsia="Arial"/>
                <w:sz w:val="16"/>
              </w:rPr>
              <w:t>KPI, обратная связь, подтверждение качества.</w:t>
            </w:r>
          </w:p>
        </w:tc>
      </w:tr>
    </w:tbl>
    <w:p>
      <w:pPr>
        <w:spacing w:after="0"/>
      </w:pPr>
    </w:p>
    <w:p>
      <w:pPr>
        <w:pStyle w:val="Heading1"/>
      </w:pPr>
      <w:r>
        <w:t>7. Режимы доступа и эксплуатационная организация</w:t>
      </w:r>
    </w:p>
    <w:p>
      <w:r>
        <w:rPr>
          <w:rFonts w:ascii="Arial" w:hAnsi="Arial" w:eastAsia="Arial"/>
          <w:sz w:val="21"/>
        </w:rPr>
        <w:t>Содержательная трактовка режимов A и B разработана командой поверх коэффициентов case data. Она не является дополнительной формулой и не меняет расчёт. Для FIRE и ENV режим A означает гарантированный базовый сервис уполномоченным публичным пользователям на срок контракта. Для AGRI и TRANS режим B означает агрегированный слой якорному заказчику и авторизованный доступ организаций к детальной аналитике своих территорий или объектов.</w:t>
      </w:r>
    </w:p>
    <w:tbl>
      <w:tblPr>
        <w:tblStyle w:val="TableGrid"/>
        <w:tblW w:type="auto" w:w="0"/>
        <w:jc w:val="center"/>
        <w:tblLook w:firstColumn="1" w:firstRow="1" w:lastColumn="0" w:lastRow="0" w:noHBand="0" w:noVBand="1" w:val="04A0"/>
      </w:tblPr>
      <w:tblGrid>
        <w:gridCol w:w="2521"/>
        <w:gridCol w:w="2521"/>
        <w:gridCol w:w="2521"/>
        <w:gridCol w:w="2521"/>
      </w:tblGrid>
      <w:tr>
        <w:trPr>
          <w:tblHeader w:val="true"/>
          <w:cantSplit/>
        </w:trPr>
        <w:tc>
          <w:tcPr>
            <w:tcW w:type="dxa" w:w="1134"/>
            <w:shd w:fill="D9D9D9"/>
            <w:vAlign w:val="center"/>
            <w:tcMar>
              <w:top w:w="70" w:type="dxa"/>
              <w:start w:w="80" w:type="dxa"/>
              <w:bottom w:w="70" w:type="dxa"/>
              <w:end w:w="80" w:type="dxa"/>
            </w:tcMar>
          </w:tcPr>
          <w:p>
            <w:pPr>
              <w:jc w:val="center"/>
            </w:pPr>
            <w:r>
              <w:rPr>
                <w:rFonts w:ascii="Arial" w:hAnsi="Arial" w:eastAsia="Arial"/>
                <w:b/>
                <w:sz w:val="15"/>
              </w:rPr>
              <w:t>Лот</w:t>
            </w:r>
          </w:p>
        </w:tc>
        <w:tc>
          <w:tcPr>
            <w:tcW w:type="dxa" w:w="2551"/>
            <w:shd w:fill="D9D9D9"/>
            <w:vAlign w:val="center"/>
            <w:tcMar>
              <w:top w:w="70" w:type="dxa"/>
              <w:start w:w="80" w:type="dxa"/>
              <w:bottom w:w="70" w:type="dxa"/>
              <w:end w:w="80" w:type="dxa"/>
            </w:tcMar>
          </w:tcPr>
          <w:p>
            <w:pPr>
              <w:jc w:val="center"/>
            </w:pPr>
            <w:r>
              <w:rPr>
                <w:rFonts w:ascii="Arial" w:hAnsi="Arial" w:eastAsia="Arial"/>
                <w:b/>
                <w:sz w:val="15"/>
              </w:rPr>
              <w:t>Базовый доступ</w:t>
            </w:r>
          </w:p>
        </w:tc>
        <w:tc>
          <w:tcPr>
            <w:tcW w:type="dxa" w:w="2551"/>
            <w:shd w:fill="D9D9D9"/>
            <w:vAlign w:val="center"/>
            <w:tcMar>
              <w:top w:w="70" w:type="dxa"/>
              <w:start w:w="80" w:type="dxa"/>
              <w:bottom w:w="70" w:type="dxa"/>
              <w:end w:w="80" w:type="dxa"/>
            </w:tcMar>
          </w:tcPr>
          <w:p>
            <w:pPr>
              <w:jc w:val="center"/>
            </w:pPr>
            <w:r>
              <w:rPr>
                <w:rFonts w:ascii="Arial" w:hAnsi="Arial" w:eastAsia="Arial"/>
                <w:b/>
                <w:sz w:val="15"/>
              </w:rPr>
              <w:t>Дополнительный доступ</w:t>
            </w:r>
          </w:p>
        </w:tc>
        <w:tc>
          <w:tcPr>
            <w:tcW w:type="dxa" w:w="2835"/>
            <w:shd w:fill="D9D9D9"/>
            <w:vAlign w:val="center"/>
            <w:tcMar>
              <w:top w:w="70" w:type="dxa"/>
              <w:start w:w="80" w:type="dxa"/>
              <w:bottom w:w="70" w:type="dxa"/>
              <w:end w:w="80" w:type="dxa"/>
            </w:tcMar>
          </w:tcPr>
          <w:p>
            <w:pPr>
              <w:jc w:val="center"/>
            </w:pPr>
            <w:r>
              <w:rPr>
                <w:rFonts w:ascii="Arial" w:hAnsi="Arial" w:eastAsia="Arial"/>
                <w:b/>
                <w:sz w:val="15"/>
              </w:rPr>
              <w:t>Приёмка</w:t>
            </w:r>
          </w:p>
        </w:tc>
      </w:tr>
      <w:tr>
        <w:trPr>
          <w:cantSplit/>
        </w:trPr>
        <w:tc>
          <w:tcPr>
            <w:tcW w:type="dxa" w:w="1134"/>
            <w:vAlign w:val="top"/>
            <w:tcMar>
              <w:top w:w="70" w:type="dxa"/>
              <w:start w:w="80" w:type="dxa"/>
              <w:bottom w:w="70" w:type="dxa"/>
              <w:end w:w="80" w:type="dxa"/>
            </w:tcMar>
          </w:tcPr>
          <w:p>
            <w:r>
              <w:rPr>
                <w:rFonts w:ascii="Arial" w:hAnsi="Arial" w:eastAsia="Arial"/>
                <w:sz w:val="15"/>
              </w:rPr>
              <w:t>FIRE-A</w:t>
            </w:r>
          </w:p>
        </w:tc>
        <w:tc>
          <w:tcPr>
            <w:tcW w:type="dxa" w:w="2551"/>
            <w:vAlign w:val="top"/>
            <w:tcMar>
              <w:top w:w="70" w:type="dxa"/>
              <w:start w:w="80" w:type="dxa"/>
              <w:bottom w:w="70" w:type="dxa"/>
              <w:end w:w="80" w:type="dxa"/>
            </w:tcMar>
          </w:tcPr>
          <w:p>
            <w:r>
              <w:rPr>
                <w:rFonts w:ascii="Arial" w:hAnsi="Arial" w:eastAsia="Arial"/>
                <w:sz w:val="15"/>
              </w:rPr>
              <w:t>Карта событий, время наблюдения, уверенность, статус проверки — уполномоченным органам.</w:t>
            </w:r>
          </w:p>
        </w:tc>
        <w:tc>
          <w:tcPr>
            <w:tcW w:type="dxa" w:w="2551"/>
            <w:vAlign w:val="top"/>
            <w:tcMar>
              <w:top w:w="70" w:type="dxa"/>
              <w:start w:w="80" w:type="dxa"/>
              <w:bottom w:w="70" w:type="dxa"/>
              <w:end w:w="80" w:type="dxa"/>
            </w:tcMar>
          </w:tcPr>
          <w:p>
            <w:r>
              <w:rPr>
                <w:rFonts w:ascii="Arial" w:hAnsi="Arial" w:eastAsia="Arial"/>
                <w:sz w:val="15"/>
              </w:rPr>
              <w:t>История, интеграции и расширенная аналитика.</w:t>
            </w:r>
          </w:p>
        </w:tc>
        <w:tc>
          <w:tcPr>
            <w:tcW w:type="dxa" w:w="2835"/>
            <w:vAlign w:val="top"/>
            <w:tcMar>
              <w:top w:w="70" w:type="dxa"/>
              <w:start w:w="80" w:type="dxa"/>
              <w:bottom w:w="70" w:type="dxa"/>
              <w:end w:w="80" w:type="dxa"/>
            </w:tcMar>
          </w:tcPr>
          <w:p>
            <w:r>
              <w:rPr>
                <w:rFonts w:ascii="Arial" w:hAnsi="Arial" w:eastAsia="Arial"/>
                <w:sz w:val="15"/>
              </w:rPr>
              <w:t>Лесная/диспетчерская служба проверяет эталонную выборку, свежесть и покрытие.</w:t>
            </w:r>
          </w:p>
        </w:tc>
      </w:tr>
      <w:tr>
        <w:trPr>
          <w:cantSplit/>
        </w:trPr>
        <w:tc>
          <w:tcPr>
            <w:tcW w:type="dxa" w:w="1134"/>
            <w:vAlign w:val="top"/>
            <w:tcMar>
              <w:top w:w="70" w:type="dxa"/>
              <w:start w:w="80" w:type="dxa"/>
              <w:bottom w:w="70" w:type="dxa"/>
              <w:end w:w="80" w:type="dxa"/>
            </w:tcMar>
          </w:tcPr>
          <w:p>
            <w:r>
              <w:rPr>
                <w:rFonts w:ascii="Arial" w:hAnsi="Arial" w:eastAsia="Arial"/>
                <w:sz w:val="15"/>
              </w:rPr>
              <w:t>ENV-A</w:t>
            </w:r>
          </w:p>
        </w:tc>
        <w:tc>
          <w:tcPr>
            <w:tcW w:type="dxa" w:w="2551"/>
            <w:vAlign w:val="top"/>
            <w:tcMar>
              <w:top w:w="70" w:type="dxa"/>
              <w:start w:w="80" w:type="dxa"/>
              <w:bottom w:w="70" w:type="dxa"/>
              <w:end w:w="80" w:type="dxa"/>
            </w:tcMar>
          </w:tcPr>
          <w:p>
            <w:r>
              <w:rPr>
                <w:rFonts w:ascii="Arial" w:hAnsi="Arial" w:eastAsia="Arial"/>
                <w:sz w:val="15"/>
              </w:rPr>
              <w:t>Карта зон риска, время наблюдения, уверенность, статус проверки.</w:t>
            </w:r>
          </w:p>
        </w:tc>
        <w:tc>
          <w:tcPr>
            <w:tcW w:type="dxa" w:w="2551"/>
            <w:vAlign w:val="top"/>
            <w:tcMar>
              <w:top w:w="70" w:type="dxa"/>
              <w:start w:w="80" w:type="dxa"/>
              <w:bottom w:w="70" w:type="dxa"/>
              <w:end w:w="80" w:type="dxa"/>
            </w:tcMar>
          </w:tcPr>
          <w:p>
            <w:r>
              <w:rPr>
                <w:rFonts w:ascii="Arial" w:hAnsi="Arial" w:eastAsia="Arial"/>
                <w:sz w:val="15"/>
              </w:rPr>
              <w:t>Отчёты, история и аналитика объектов по договору.</w:t>
            </w:r>
          </w:p>
        </w:tc>
        <w:tc>
          <w:tcPr>
            <w:tcW w:type="dxa" w:w="2835"/>
            <w:vAlign w:val="top"/>
            <w:tcMar>
              <w:top w:w="70" w:type="dxa"/>
              <w:start w:w="80" w:type="dxa"/>
              <w:bottom w:w="70" w:type="dxa"/>
              <w:end w:w="80" w:type="dxa"/>
            </w:tcMar>
          </w:tcPr>
          <w:p>
            <w:r>
              <w:rPr>
                <w:rFonts w:ascii="Arial" w:hAnsi="Arial" w:eastAsia="Arial"/>
                <w:sz w:val="15"/>
              </w:rPr>
              <w:t>Природоохранный орган сопоставляет сигнал с наземной проверкой.</w:t>
            </w:r>
          </w:p>
        </w:tc>
      </w:tr>
      <w:tr>
        <w:trPr>
          <w:cantSplit/>
        </w:trPr>
        <w:tc>
          <w:tcPr>
            <w:tcW w:type="dxa" w:w="1134"/>
            <w:vAlign w:val="top"/>
            <w:tcMar>
              <w:top w:w="70" w:type="dxa"/>
              <w:start w:w="80" w:type="dxa"/>
              <w:bottom w:w="70" w:type="dxa"/>
              <w:end w:w="80" w:type="dxa"/>
            </w:tcMar>
          </w:tcPr>
          <w:p>
            <w:r>
              <w:rPr>
                <w:rFonts w:ascii="Arial" w:hAnsi="Arial" w:eastAsia="Arial"/>
                <w:sz w:val="15"/>
              </w:rPr>
              <w:t>AGRI-B</w:t>
            </w:r>
          </w:p>
        </w:tc>
        <w:tc>
          <w:tcPr>
            <w:tcW w:type="dxa" w:w="2551"/>
            <w:vAlign w:val="top"/>
            <w:tcMar>
              <w:top w:w="70" w:type="dxa"/>
              <w:start w:w="80" w:type="dxa"/>
              <w:bottom w:w="70" w:type="dxa"/>
              <w:end w:w="80" w:type="dxa"/>
            </w:tcMar>
          </w:tcPr>
          <w:p>
            <w:r>
              <w:rPr>
                <w:rFonts w:ascii="Arial" w:hAnsi="Arial" w:eastAsia="Arial"/>
                <w:sz w:val="15"/>
              </w:rPr>
              <w:t>Агрегированная картина якорному заказчику.</w:t>
            </w:r>
          </w:p>
        </w:tc>
        <w:tc>
          <w:tcPr>
            <w:tcW w:type="dxa" w:w="2551"/>
            <w:vAlign w:val="top"/>
            <w:tcMar>
              <w:top w:w="70" w:type="dxa"/>
              <w:start w:w="80" w:type="dxa"/>
              <w:bottom w:w="70" w:type="dxa"/>
              <w:end w:w="80" w:type="dxa"/>
            </w:tcMar>
          </w:tcPr>
          <w:p>
            <w:r>
              <w:rPr>
                <w:rFonts w:ascii="Arial" w:hAnsi="Arial" w:eastAsia="Arial"/>
                <w:sz w:val="15"/>
              </w:rPr>
              <w:t>Детальная аналитика собственных полей, история и интеграция.</w:t>
            </w:r>
          </w:p>
        </w:tc>
        <w:tc>
          <w:tcPr>
            <w:tcW w:type="dxa" w:w="2835"/>
            <w:vAlign w:val="top"/>
            <w:tcMar>
              <w:top w:w="70" w:type="dxa"/>
              <w:start w:w="80" w:type="dxa"/>
              <w:bottom w:w="70" w:type="dxa"/>
              <w:end w:w="80" w:type="dxa"/>
            </w:tcMar>
          </w:tcPr>
          <w:p>
            <w:r>
              <w:rPr>
                <w:rFonts w:ascii="Arial" w:hAnsi="Arial" w:eastAsia="Arial"/>
                <w:sz w:val="15"/>
              </w:rPr>
              <w:t>Орган АПК принимает агрегированный слой; хозяйство проверяет данные своего контура.</w:t>
            </w:r>
          </w:p>
        </w:tc>
      </w:tr>
      <w:tr>
        <w:trPr>
          <w:cantSplit/>
        </w:trPr>
        <w:tc>
          <w:tcPr>
            <w:tcW w:type="dxa" w:w="1134"/>
            <w:vAlign w:val="top"/>
            <w:tcMar>
              <w:top w:w="70" w:type="dxa"/>
              <w:start w:w="80" w:type="dxa"/>
              <w:bottom w:w="70" w:type="dxa"/>
              <w:end w:w="80" w:type="dxa"/>
            </w:tcMar>
          </w:tcPr>
          <w:p>
            <w:r>
              <w:rPr>
                <w:rFonts w:ascii="Arial" w:hAnsi="Arial" w:eastAsia="Arial"/>
                <w:sz w:val="15"/>
              </w:rPr>
              <w:t>TRANS-B</w:t>
            </w:r>
          </w:p>
        </w:tc>
        <w:tc>
          <w:tcPr>
            <w:tcW w:type="dxa" w:w="2551"/>
            <w:vAlign w:val="top"/>
            <w:tcMar>
              <w:top w:w="70" w:type="dxa"/>
              <w:start w:w="80" w:type="dxa"/>
              <w:bottom w:w="70" w:type="dxa"/>
              <w:end w:w="80" w:type="dxa"/>
            </w:tcMar>
          </w:tcPr>
          <w:p>
            <w:r>
              <w:rPr>
                <w:rFonts w:ascii="Arial" w:hAnsi="Arial" w:eastAsia="Arial"/>
                <w:sz w:val="15"/>
              </w:rPr>
              <w:t>Агрегированная картина якорному заказчику.</w:t>
            </w:r>
          </w:p>
        </w:tc>
        <w:tc>
          <w:tcPr>
            <w:tcW w:type="dxa" w:w="2551"/>
            <w:vAlign w:val="top"/>
            <w:tcMar>
              <w:top w:w="70" w:type="dxa"/>
              <w:start w:w="80" w:type="dxa"/>
              <w:bottom w:w="70" w:type="dxa"/>
              <w:end w:w="80" w:type="dxa"/>
            </w:tcMar>
          </w:tcPr>
          <w:p>
            <w:r>
              <w:rPr>
                <w:rFonts w:ascii="Arial" w:hAnsi="Arial" w:eastAsia="Arial"/>
                <w:sz w:val="15"/>
              </w:rPr>
              <w:t>Данные собственных объектов, история и API.</w:t>
            </w:r>
          </w:p>
        </w:tc>
        <w:tc>
          <w:tcPr>
            <w:tcW w:type="dxa" w:w="2835"/>
            <w:vAlign w:val="top"/>
            <w:tcMar>
              <w:top w:w="70" w:type="dxa"/>
              <w:start w:w="80" w:type="dxa"/>
              <w:bottom w:w="70" w:type="dxa"/>
              <w:end w:w="80" w:type="dxa"/>
            </w:tcMar>
          </w:tcPr>
          <w:p>
            <w:r>
              <w:rPr>
                <w:rFonts w:ascii="Arial" w:hAnsi="Arial" w:eastAsia="Arial"/>
                <w:sz w:val="15"/>
              </w:rPr>
              <w:t>Транспортный орган/оператор проверяет покрытие, задержку, экспорт и события.</w:t>
            </w:r>
          </w:p>
        </w:tc>
      </w:tr>
    </w:tbl>
    <w:p>
      <w:pPr>
        <w:spacing w:after="0"/>
      </w:pPr>
    </w:p>
    <w:p>
      <w:r>
        <w:rPr>
          <w:rFonts w:ascii="Arial" w:hAnsi="Arial" w:eastAsia="Arial"/>
          <w:sz w:val="21"/>
        </w:rPr>
        <w:t>Целевая эксплуатационная архитектура предусматривает сервис-деск и API, журналирование доступа, открытые форматы CSV/GeoJSON, хранение истории с processing_version, отметки source_updated_at и stale при пробелах данных. Эти механизмы в расчётном движке не реализованы и рассматриваются как договорные и архитектурные требования к будущему сервису.</w:t>
      </w:r>
    </w:p>
    <w:p>
      <w:pPr>
        <w:pStyle w:val="Heading1"/>
      </w:pPr>
      <w:r>
        <w:t>8. Риски, конкуренция и смена поставщика</w:t>
      </w:r>
    </w:p>
    <w:tbl>
      <w:tblPr>
        <w:tblStyle w:val="TableGrid"/>
        <w:tblW w:type="auto" w:w="0"/>
        <w:jc w:val="center"/>
        <w:tblLook w:firstColumn="1" w:firstRow="1" w:lastColumn="0" w:lastRow="0" w:noHBand="0" w:noVBand="1" w:val="04A0"/>
      </w:tblPr>
      <w:tblGrid>
        <w:gridCol w:w="1250"/>
        <w:gridCol w:w="1550"/>
        <w:gridCol w:w="1550"/>
        <w:gridCol w:w="1700"/>
        <w:gridCol w:w="1050"/>
        <w:gridCol w:w="1550"/>
        <w:gridCol w:w="1435"/>
      </w:tblGrid>
      <w:tr>
        <w:trPr>
          <w:tblHeader w:val="true"/>
          <w:cantSplit/>
        </w:trPr>
        <w:tc>
          <w:tcPr>
            <w:tcW w:type="dxa" w:w="1250"/>
            <w:shd w:fill="D9D9D9"/>
            <w:vAlign w:val="center"/>
            <w:tcMar>
              <w:top w:w="70" w:type="dxa"/>
              <w:start w:w="80" w:type="dxa"/>
              <w:bottom w:w="70" w:type="dxa"/>
              <w:end w:w="80" w:type="dxa"/>
            </w:tcMar>
          </w:tcPr>
          <w:p>
            <w:pPr>
              <w:jc w:val="center"/>
            </w:pPr>
            <w:r>
              <w:rPr>
                <w:rFonts w:ascii="Arial" w:hAnsi="Arial" w:eastAsia="Arial"/>
                <w:b/>
                <w:sz w:val="14"/>
              </w:rPr>
              <w:t>Риск</w:t>
            </w:r>
          </w:p>
        </w:tc>
        <w:tc>
          <w:tcPr>
            <w:tcW w:type="dxa" w:w="1550"/>
            <w:shd w:fill="D9D9D9"/>
            <w:vAlign w:val="center"/>
            <w:tcMar>
              <w:top w:w="70" w:type="dxa"/>
              <w:start w:w="80" w:type="dxa"/>
              <w:bottom w:w="70" w:type="dxa"/>
              <w:end w:w="80" w:type="dxa"/>
            </w:tcMar>
          </w:tcPr>
          <w:p>
            <w:pPr>
              <w:jc w:val="center"/>
            </w:pPr>
            <w:r>
              <w:rPr>
                <w:rFonts w:ascii="Arial" w:hAnsi="Arial" w:eastAsia="Arial"/>
                <w:b/>
                <w:sz w:val="14"/>
              </w:rPr>
              <w:t>Причина</w:t>
            </w:r>
          </w:p>
        </w:tc>
        <w:tc>
          <w:tcPr>
            <w:tcW w:type="dxa" w:w="1550"/>
            <w:shd w:fill="D9D9D9"/>
            <w:vAlign w:val="center"/>
            <w:tcMar>
              <w:top w:w="70" w:type="dxa"/>
              <w:start w:w="80" w:type="dxa"/>
              <w:bottom w:w="70" w:type="dxa"/>
              <w:end w:w="80" w:type="dxa"/>
            </w:tcMar>
          </w:tcPr>
          <w:p>
            <w:pPr>
              <w:jc w:val="center"/>
            </w:pPr>
            <w:r>
              <w:rPr>
                <w:rFonts w:ascii="Arial" w:hAnsi="Arial" w:eastAsia="Arial"/>
                <w:b/>
                <w:sz w:val="14"/>
              </w:rPr>
              <w:t>Последствие</w:t>
            </w:r>
          </w:p>
        </w:tc>
        <w:tc>
          <w:tcPr>
            <w:tcW w:type="dxa" w:w="1700"/>
            <w:shd w:fill="D9D9D9"/>
            <w:vAlign w:val="center"/>
            <w:tcMar>
              <w:top w:w="70" w:type="dxa"/>
              <w:start w:w="80" w:type="dxa"/>
              <w:bottom w:w="70" w:type="dxa"/>
              <w:end w:w="80" w:type="dxa"/>
            </w:tcMar>
          </w:tcPr>
          <w:p>
            <w:pPr>
              <w:jc w:val="center"/>
            </w:pPr>
            <w:r>
              <w:rPr>
                <w:rFonts w:ascii="Arial" w:hAnsi="Arial" w:eastAsia="Arial"/>
                <w:b/>
                <w:sz w:val="14"/>
              </w:rPr>
              <w:t>Мера</w:t>
            </w:r>
          </w:p>
        </w:tc>
        <w:tc>
          <w:tcPr>
            <w:tcW w:type="dxa" w:w="1050"/>
            <w:shd w:fill="D9D9D9"/>
            <w:vAlign w:val="center"/>
            <w:tcMar>
              <w:top w:w="70" w:type="dxa"/>
              <w:start w:w="80" w:type="dxa"/>
              <w:bottom w:w="70" w:type="dxa"/>
              <w:end w:w="80" w:type="dxa"/>
            </w:tcMar>
          </w:tcPr>
          <w:p>
            <w:pPr>
              <w:jc w:val="center"/>
            </w:pPr>
            <w:r>
              <w:rPr>
                <w:rFonts w:ascii="Arial" w:hAnsi="Arial" w:eastAsia="Arial"/>
                <w:b/>
                <w:sz w:val="14"/>
              </w:rPr>
              <w:t>Владелец</w:t>
            </w:r>
          </w:p>
        </w:tc>
        <w:tc>
          <w:tcPr>
            <w:tcW w:type="dxa" w:w="1550"/>
            <w:shd w:fill="D9D9D9"/>
            <w:vAlign w:val="center"/>
            <w:tcMar>
              <w:top w:w="70" w:type="dxa"/>
              <w:start w:w="80" w:type="dxa"/>
              <w:bottom w:w="70" w:type="dxa"/>
              <w:end w:w="80" w:type="dxa"/>
            </w:tcMar>
          </w:tcPr>
          <w:p>
            <w:pPr>
              <w:jc w:val="center"/>
            </w:pPr>
            <w:r>
              <w:rPr>
                <w:rFonts w:ascii="Arial" w:hAnsi="Arial" w:eastAsia="Arial"/>
                <w:b/>
                <w:sz w:val="14"/>
              </w:rPr>
              <w:t>Остаточный риск</w:t>
            </w:r>
          </w:p>
        </w:tc>
        <w:tc>
          <w:tcPr>
            <w:tcW w:type="dxa" w:w="1435"/>
            <w:shd w:fill="D9D9D9"/>
            <w:vAlign w:val="center"/>
            <w:tcMar>
              <w:top w:w="70" w:type="dxa"/>
              <w:start w:w="80" w:type="dxa"/>
              <w:bottom w:w="70" w:type="dxa"/>
              <w:end w:w="80" w:type="dxa"/>
            </w:tcMar>
          </w:tcPr>
          <w:p>
            <w:pPr>
              <w:jc w:val="center"/>
            </w:pPr>
            <w:r>
              <w:rPr>
                <w:rFonts w:ascii="Arial" w:hAnsi="Arial" w:eastAsia="Arial"/>
                <w:b/>
                <w:sz w:val="14"/>
              </w:rPr>
              <w:t>Ограничение меры</w:t>
            </w:r>
          </w:p>
        </w:tc>
      </w:tr>
      <w:tr>
        <w:trPr>
          <w:cantSplit/>
        </w:trPr>
        <w:tc>
          <w:tcPr>
            <w:tcW w:type="dxa" w:w="1250"/>
            <w:vAlign w:val="top"/>
            <w:tcMar>
              <w:top w:w="70" w:type="dxa"/>
              <w:start w:w="80" w:type="dxa"/>
              <w:bottom w:w="70" w:type="dxa"/>
              <w:end w:w="80" w:type="dxa"/>
            </w:tcMar>
          </w:tcPr>
          <w:p>
            <w:r>
              <w:rPr>
                <w:rFonts w:ascii="Arial" w:hAnsi="Arial" w:eastAsia="Arial"/>
                <w:sz w:val="14"/>
              </w:rPr>
              <w:t>Пробел или задержка данных</w:t>
            </w:r>
          </w:p>
        </w:tc>
        <w:tc>
          <w:tcPr>
            <w:tcW w:type="dxa" w:w="1550"/>
            <w:vAlign w:val="top"/>
            <w:tcMar>
              <w:top w:w="70" w:type="dxa"/>
              <w:start w:w="80" w:type="dxa"/>
              <w:bottom w:w="70" w:type="dxa"/>
              <w:end w:w="80" w:type="dxa"/>
            </w:tcMar>
          </w:tcPr>
          <w:p>
            <w:r>
              <w:rPr>
                <w:rFonts w:ascii="Arial" w:hAnsi="Arial" w:eastAsia="Arial"/>
                <w:sz w:val="14"/>
              </w:rPr>
              <w:t>Облачность, пропуск витка, сбой у поставщика или канала передачи.</w:t>
            </w:r>
          </w:p>
        </w:tc>
        <w:tc>
          <w:tcPr>
            <w:tcW w:type="dxa" w:w="1550"/>
            <w:vAlign w:val="top"/>
            <w:tcMar>
              <w:top w:w="70" w:type="dxa"/>
              <w:start w:w="80" w:type="dxa"/>
              <w:bottom w:w="70" w:type="dxa"/>
              <w:end w:w="80" w:type="dxa"/>
            </w:tcMar>
          </w:tcPr>
          <w:p>
            <w:r>
              <w:rPr>
                <w:rFonts w:ascii="Arial" w:hAnsi="Arial" w:eastAsia="Arial"/>
                <w:sz w:val="14"/>
              </w:rPr>
              <w:t>Поздний/устаревший сигнал.</w:t>
            </w:r>
          </w:p>
        </w:tc>
        <w:tc>
          <w:tcPr>
            <w:tcW w:type="dxa" w:w="1700"/>
            <w:vAlign w:val="top"/>
            <w:tcMar>
              <w:top w:w="70" w:type="dxa"/>
              <w:start w:w="80" w:type="dxa"/>
              <w:bottom w:w="70" w:type="dxa"/>
              <w:end w:w="80" w:type="dxa"/>
            </w:tcMar>
          </w:tcPr>
          <w:p>
            <w:r>
              <w:rPr>
                <w:rFonts w:ascii="Arial" w:hAnsi="Arial" w:eastAsia="Arial"/>
                <w:sz w:val="14"/>
              </w:rPr>
              <w:t>Несколько источников, SLA по свежести, последний валидный слой, ручной сценарий.</w:t>
            </w:r>
          </w:p>
        </w:tc>
        <w:tc>
          <w:tcPr>
            <w:tcW w:type="dxa" w:w="1050"/>
            <w:vAlign w:val="top"/>
            <w:tcMar>
              <w:top w:w="70" w:type="dxa"/>
              <w:start w:w="80" w:type="dxa"/>
              <w:bottom w:w="70" w:type="dxa"/>
              <w:end w:w="80" w:type="dxa"/>
            </w:tcMar>
          </w:tcPr>
          <w:p>
            <w:r>
              <w:rPr>
                <w:rFonts w:ascii="Arial" w:hAnsi="Arial" w:eastAsia="Arial"/>
                <w:sz w:val="14"/>
              </w:rPr>
              <w:t>Оператор</w:t>
            </w:r>
          </w:p>
        </w:tc>
        <w:tc>
          <w:tcPr>
            <w:tcW w:type="dxa" w:w="1550"/>
            <w:vAlign w:val="top"/>
            <w:tcMar>
              <w:top w:w="70" w:type="dxa"/>
              <w:start w:w="80" w:type="dxa"/>
              <w:bottom w:w="70" w:type="dxa"/>
              <w:end w:w="80" w:type="dxa"/>
            </w:tcMar>
          </w:tcPr>
          <w:p>
            <w:r>
              <w:rPr>
                <w:rFonts w:ascii="Arial" w:hAnsi="Arial" w:eastAsia="Arial"/>
                <w:sz w:val="14"/>
              </w:rPr>
              <w:t>Часть территории в отдельные сутки остаётся без свежего наблюдения.</w:t>
            </w:r>
          </w:p>
        </w:tc>
        <w:tc>
          <w:tcPr>
            <w:tcW w:type="dxa" w:w="1435"/>
            <w:vAlign w:val="top"/>
            <w:tcMar>
              <w:top w:w="70" w:type="dxa"/>
              <w:start w:w="80" w:type="dxa"/>
              <w:bottom w:w="70" w:type="dxa"/>
              <w:end w:w="80" w:type="dxa"/>
            </w:tcMar>
          </w:tcPr>
          <w:p>
            <w:r>
              <w:rPr>
                <w:rFonts w:ascii="Arial" w:hAnsi="Arial" w:eastAsia="Arial"/>
                <w:sz w:val="14"/>
              </w:rPr>
              <w:t>Источники могут одновременно зависеть от одной орбитальной группировки.</w:t>
            </w:r>
          </w:p>
        </w:tc>
      </w:tr>
      <w:tr>
        <w:trPr>
          <w:cantSplit/>
        </w:trPr>
        <w:tc>
          <w:tcPr>
            <w:tcW w:type="dxa" w:w="1250"/>
            <w:vAlign w:val="top"/>
            <w:tcMar>
              <w:top w:w="70" w:type="dxa"/>
              <w:start w:w="80" w:type="dxa"/>
              <w:bottom w:w="70" w:type="dxa"/>
              <w:end w:w="80" w:type="dxa"/>
            </w:tcMar>
          </w:tcPr>
          <w:p>
            <w:r>
              <w:rPr>
                <w:rFonts w:ascii="Arial" w:hAnsi="Arial" w:eastAsia="Arial"/>
                <w:sz w:val="14"/>
              </w:rPr>
              <w:t>Ложный или пропущенный сигнал</w:t>
            </w:r>
          </w:p>
        </w:tc>
        <w:tc>
          <w:tcPr>
            <w:tcW w:type="dxa" w:w="1550"/>
            <w:vAlign w:val="top"/>
            <w:tcMar>
              <w:top w:w="70" w:type="dxa"/>
              <w:start w:w="80" w:type="dxa"/>
              <w:bottom w:w="70" w:type="dxa"/>
              <w:end w:w="80" w:type="dxa"/>
            </w:tcMar>
          </w:tcPr>
          <w:p>
            <w:r>
              <w:rPr>
                <w:rFonts w:ascii="Arial" w:hAnsi="Arial" w:eastAsia="Arial"/>
                <w:sz w:val="14"/>
              </w:rPr>
              <w:t>Ограничения разрешения и спектральных признаков; редкие и нетипичные события слабо представлены в обучающей выборке.</w:t>
            </w:r>
          </w:p>
        </w:tc>
        <w:tc>
          <w:tcPr>
            <w:tcW w:type="dxa" w:w="1550"/>
            <w:vAlign w:val="top"/>
            <w:tcMar>
              <w:top w:w="70" w:type="dxa"/>
              <w:start w:w="80" w:type="dxa"/>
              <w:bottom w:w="70" w:type="dxa"/>
              <w:end w:w="80" w:type="dxa"/>
            </w:tcMar>
          </w:tcPr>
          <w:p>
            <w:r>
              <w:rPr>
                <w:rFonts w:ascii="Arial" w:hAnsi="Arial" w:eastAsia="Arial"/>
                <w:sz w:val="14"/>
              </w:rPr>
              <w:t>Неверный приоритет выезда, осмотра или обработки.</w:t>
            </w:r>
          </w:p>
        </w:tc>
        <w:tc>
          <w:tcPr>
            <w:tcW w:type="dxa" w:w="1700"/>
            <w:vAlign w:val="top"/>
            <w:tcMar>
              <w:top w:w="70" w:type="dxa"/>
              <w:start w:w="80" w:type="dxa"/>
              <w:bottom w:w="70" w:type="dxa"/>
              <w:end w:w="80" w:type="dxa"/>
            </w:tcMar>
          </w:tcPr>
          <w:p>
            <w:r>
              <w:rPr>
                <w:rFonts w:ascii="Arial" w:hAnsi="Arial" w:eastAsia="Arial"/>
                <w:sz w:val="14"/>
              </w:rPr>
              <w:t>Порог уверенности, проверка человеком, журнал качества, контроль версии модели.</w:t>
            </w:r>
          </w:p>
        </w:tc>
        <w:tc>
          <w:tcPr>
            <w:tcW w:type="dxa" w:w="1050"/>
            <w:vAlign w:val="top"/>
            <w:tcMar>
              <w:top w:w="70" w:type="dxa"/>
              <w:start w:w="80" w:type="dxa"/>
              <w:bottom w:w="70" w:type="dxa"/>
              <w:end w:w="80" w:type="dxa"/>
            </w:tcMar>
          </w:tcPr>
          <w:p>
            <w:r>
              <w:rPr>
                <w:rFonts w:ascii="Arial" w:hAnsi="Arial" w:eastAsia="Arial"/>
                <w:sz w:val="14"/>
              </w:rPr>
              <w:t>Владелец сервиса</w:t>
            </w:r>
          </w:p>
        </w:tc>
        <w:tc>
          <w:tcPr>
            <w:tcW w:type="dxa" w:w="1550"/>
            <w:vAlign w:val="top"/>
            <w:tcMar>
              <w:top w:w="70" w:type="dxa"/>
              <w:start w:w="80" w:type="dxa"/>
              <w:bottom w:w="70" w:type="dxa"/>
              <w:end w:w="80" w:type="dxa"/>
            </w:tcMar>
          </w:tcPr>
          <w:p>
            <w:r>
              <w:rPr>
                <w:rFonts w:ascii="Arial" w:hAnsi="Arial" w:eastAsia="Arial"/>
                <w:sz w:val="14"/>
              </w:rPr>
              <w:t>Доля ошибок сохраняется; решение по сигналу остаётся за человеком.</w:t>
            </w:r>
          </w:p>
        </w:tc>
        <w:tc>
          <w:tcPr>
            <w:tcW w:type="dxa" w:w="1435"/>
            <w:vAlign w:val="top"/>
            <w:tcMar>
              <w:top w:w="70" w:type="dxa"/>
              <w:start w:w="80" w:type="dxa"/>
              <w:bottom w:w="70" w:type="dxa"/>
              <w:end w:w="80" w:type="dxa"/>
            </w:tcMar>
          </w:tcPr>
          <w:p>
            <w:r>
              <w:rPr>
                <w:rFonts w:ascii="Arial" w:hAnsi="Arial" w:eastAsia="Arial"/>
                <w:sz w:val="14"/>
              </w:rPr>
              <w:t>Редкие события и сезонность ограничивают настройку.</w:t>
            </w:r>
          </w:p>
        </w:tc>
      </w:tr>
      <w:tr>
        <w:trPr>
          <w:cantSplit/>
        </w:trPr>
        <w:tc>
          <w:tcPr>
            <w:tcW w:type="dxa" w:w="1250"/>
            <w:vAlign w:val="top"/>
            <w:tcMar>
              <w:top w:w="70" w:type="dxa"/>
              <w:start w:w="80" w:type="dxa"/>
              <w:bottom w:w="70" w:type="dxa"/>
              <w:end w:w="80" w:type="dxa"/>
            </w:tcMar>
          </w:tcPr>
          <w:p>
            <w:r>
              <w:rPr>
                <w:rFonts w:ascii="Arial" w:hAnsi="Arial" w:eastAsia="Arial"/>
                <w:sz w:val="14"/>
              </w:rPr>
              <w:t>Зависимость от поставщика</w:t>
            </w:r>
          </w:p>
        </w:tc>
        <w:tc>
          <w:tcPr>
            <w:tcW w:type="dxa" w:w="1550"/>
            <w:vAlign w:val="top"/>
            <w:tcMar>
              <w:top w:w="70" w:type="dxa"/>
              <w:start w:w="80" w:type="dxa"/>
              <w:bottom w:w="70" w:type="dxa"/>
              <w:end w:w="80" w:type="dxa"/>
            </w:tcMar>
          </w:tcPr>
          <w:p>
            <w:r>
              <w:rPr>
                <w:rFonts w:ascii="Arial" w:hAnsi="Arial" w:eastAsia="Arial"/>
                <w:sz w:val="14"/>
              </w:rPr>
              <w:t>Уникальные данные или формат у одного поставщика; второй квалифицированный источник не подтверждён.</w:t>
            </w:r>
          </w:p>
        </w:tc>
        <w:tc>
          <w:tcPr>
            <w:tcW w:type="dxa" w:w="1550"/>
            <w:vAlign w:val="top"/>
            <w:tcMar>
              <w:top w:w="70" w:type="dxa"/>
              <w:start w:w="80" w:type="dxa"/>
              <w:bottom w:w="70" w:type="dxa"/>
              <w:end w:w="80" w:type="dxa"/>
            </w:tcMar>
          </w:tcPr>
          <w:p>
            <w:r>
              <w:rPr>
                <w:rFonts w:ascii="Arial" w:hAnsi="Arial" w:eastAsia="Arial"/>
                <w:sz w:val="14"/>
              </w:rPr>
              <w:t>Рост цены, остановка обновлений, сложная миграция.</w:t>
            </w:r>
          </w:p>
        </w:tc>
        <w:tc>
          <w:tcPr>
            <w:tcW w:type="dxa" w:w="1700"/>
            <w:vAlign w:val="top"/>
            <w:tcMar>
              <w:top w:w="70" w:type="dxa"/>
              <w:start w:w="80" w:type="dxa"/>
              <w:bottom w:w="70" w:type="dxa"/>
              <w:end w:w="80" w:type="dxa"/>
            </w:tcMar>
          </w:tcPr>
          <w:p>
            <w:r>
              <w:rPr>
                <w:rFonts w:ascii="Arial" w:hAnsi="Arial" w:eastAsia="Arial"/>
                <w:sz w:val="14"/>
              </w:rPr>
              <w:t>Открытые форматы/API, права на историю, второй допустимый источник, контрольный пересчёт.</w:t>
            </w:r>
          </w:p>
        </w:tc>
        <w:tc>
          <w:tcPr>
            <w:tcW w:type="dxa" w:w="1050"/>
            <w:vAlign w:val="top"/>
            <w:tcMar>
              <w:top w:w="70" w:type="dxa"/>
              <w:start w:w="80" w:type="dxa"/>
              <w:bottom w:w="70" w:type="dxa"/>
              <w:end w:w="80" w:type="dxa"/>
            </w:tcMar>
          </w:tcPr>
          <w:p>
            <w:r>
              <w:rPr>
                <w:rFonts w:ascii="Arial" w:hAnsi="Arial" w:eastAsia="Arial"/>
                <w:sz w:val="14"/>
              </w:rPr>
              <w:t>Заказчик</w:t>
            </w:r>
          </w:p>
        </w:tc>
        <w:tc>
          <w:tcPr>
            <w:tcW w:type="dxa" w:w="1550"/>
            <w:vAlign w:val="top"/>
            <w:tcMar>
              <w:top w:w="70" w:type="dxa"/>
              <w:start w:w="80" w:type="dxa"/>
              <w:bottom w:w="70" w:type="dxa"/>
              <w:end w:w="80" w:type="dxa"/>
            </w:tcMar>
          </w:tcPr>
          <w:p>
            <w:r>
              <w:rPr>
                <w:rFonts w:ascii="Arial" w:hAnsi="Arial" w:eastAsia="Arial"/>
                <w:sz w:val="14"/>
              </w:rPr>
              <w:t>На время перехода качество и покрытие снижаются.</w:t>
            </w:r>
          </w:p>
        </w:tc>
        <w:tc>
          <w:tcPr>
            <w:tcW w:type="dxa" w:w="1435"/>
            <w:vAlign w:val="top"/>
            <w:tcMar>
              <w:top w:w="70" w:type="dxa"/>
              <w:start w:w="80" w:type="dxa"/>
              <w:bottom w:w="70" w:type="dxa"/>
              <w:end w:w="80" w:type="dxa"/>
            </w:tcMar>
          </w:tcPr>
          <w:p>
            <w:r>
              <w:rPr>
                <w:rFonts w:ascii="Arial" w:hAnsi="Arial" w:eastAsia="Arial"/>
                <w:sz w:val="14"/>
              </w:rPr>
              <w:t>Переход требует времени и денег; покрытие резервного источника может отличаться.</w:t>
            </w:r>
          </w:p>
        </w:tc>
      </w:tr>
      <w:tr>
        <w:trPr>
          <w:cantSplit/>
        </w:trPr>
        <w:tc>
          <w:tcPr>
            <w:tcW w:type="dxa" w:w="1250"/>
            <w:vAlign w:val="top"/>
            <w:tcMar>
              <w:top w:w="70" w:type="dxa"/>
              <w:start w:w="80" w:type="dxa"/>
              <w:bottom w:w="70" w:type="dxa"/>
              <w:end w:w="80" w:type="dxa"/>
            </w:tcMar>
          </w:tcPr>
          <w:p>
            <w:r>
              <w:rPr>
                <w:rFonts w:ascii="Arial" w:hAnsi="Arial" w:eastAsia="Arial"/>
                <w:sz w:val="14"/>
              </w:rPr>
              <w:t>Сервис не встроен в процесс региона</w:t>
            </w:r>
          </w:p>
        </w:tc>
        <w:tc>
          <w:tcPr>
            <w:tcW w:type="dxa" w:w="1550"/>
            <w:vAlign w:val="top"/>
            <w:tcMar>
              <w:top w:w="70" w:type="dxa"/>
              <w:start w:w="80" w:type="dxa"/>
              <w:bottom w:w="70" w:type="dxa"/>
              <w:end w:w="80" w:type="dxa"/>
            </w:tcMar>
          </w:tcPr>
          <w:p>
            <w:r>
              <w:rPr>
                <w:rFonts w:ascii="Arial" w:hAnsi="Arial" w:eastAsia="Arial"/>
                <w:sz w:val="14"/>
              </w:rPr>
              <w:t>Нет регламента реакции и ответственного за действие по сигналу.</w:t>
            </w:r>
          </w:p>
        </w:tc>
        <w:tc>
          <w:tcPr>
            <w:tcW w:type="dxa" w:w="1550"/>
            <w:vAlign w:val="top"/>
            <w:tcMar>
              <w:top w:w="70" w:type="dxa"/>
              <w:start w:w="80" w:type="dxa"/>
              <w:bottom w:w="70" w:type="dxa"/>
              <w:end w:w="80" w:type="dxa"/>
            </w:tcMar>
          </w:tcPr>
          <w:p>
            <w:r>
              <w:rPr>
                <w:rFonts w:ascii="Arial" w:hAnsi="Arial" w:eastAsia="Arial"/>
                <w:sz w:val="14"/>
              </w:rPr>
              <w:t>Сигналы есть, но решения не принимаются.</w:t>
            </w:r>
          </w:p>
        </w:tc>
        <w:tc>
          <w:tcPr>
            <w:tcW w:type="dxa" w:w="1700"/>
            <w:vAlign w:val="top"/>
            <w:tcMar>
              <w:top w:w="70" w:type="dxa"/>
              <w:start w:w="80" w:type="dxa"/>
              <w:bottom w:w="70" w:type="dxa"/>
              <w:end w:w="80" w:type="dxa"/>
            </w:tcMar>
          </w:tcPr>
          <w:p>
            <w:r>
              <w:rPr>
                <w:rFonts w:ascii="Arial" w:hAnsi="Arial" w:eastAsia="Arial"/>
                <w:sz w:val="14"/>
              </w:rPr>
              <w:t>Пилот, интеграции, обучение, регламент реакции.</w:t>
            </w:r>
          </w:p>
        </w:tc>
        <w:tc>
          <w:tcPr>
            <w:tcW w:type="dxa" w:w="1050"/>
            <w:vAlign w:val="top"/>
            <w:tcMar>
              <w:top w:w="70" w:type="dxa"/>
              <w:start w:w="80" w:type="dxa"/>
              <w:bottom w:w="70" w:type="dxa"/>
              <w:end w:w="80" w:type="dxa"/>
            </w:tcMar>
          </w:tcPr>
          <w:p>
            <w:r>
              <w:rPr>
                <w:rFonts w:ascii="Arial" w:hAnsi="Arial" w:eastAsia="Arial"/>
                <w:sz w:val="14"/>
              </w:rPr>
              <w:t>Принимающая сторона</w:t>
            </w:r>
          </w:p>
        </w:tc>
        <w:tc>
          <w:tcPr>
            <w:tcW w:type="dxa" w:w="1550"/>
            <w:vAlign w:val="top"/>
            <w:tcMar>
              <w:top w:w="70" w:type="dxa"/>
              <w:start w:w="80" w:type="dxa"/>
              <w:bottom w:w="70" w:type="dxa"/>
              <w:end w:w="80" w:type="dxa"/>
            </w:tcMar>
          </w:tcPr>
          <w:p>
            <w:r>
              <w:rPr>
                <w:rFonts w:ascii="Arial" w:hAnsi="Arial" w:eastAsia="Arial"/>
                <w:sz w:val="14"/>
              </w:rPr>
              <w:t>Сервис используется частью служб; фактический эффект ниже расчётного.</w:t>
            </w:r>
          </w:p>
        </w:tc>
        <w:tc>
          <w:tcPr>
            <w:tcW w:type="dxa" w:w="1435"/>
            <w:vAlign w:val="top"/>
            <w:tcMar>
              <w:top w:w="70" w:type="dxa"/>
              <w:start w:w="80" w:type="dxa"/>
              <w:bottom w:w="70" w:type="dxa"/>
              <w:end w:w="80" w:type="dxa"/>
            </w:tcMar>
          </w:tcPr>
          <w:p>
            <w:r>
              <w:rPr>
                <w:rFonts w:ascii="Arial" w:hAnsi="Arial" w:eastAsia="Arial"/>
                <w:sz w:val="14"/>
              </w:rPr>
              <w:t>Организационные полномочия технологией не исправляются.</w:t>
            </w:r>
          </w:p>
        </w:tc>
      </w:tr>
      <w:tr>
        <w:trPr>
          <w:cantSplit/>
        </w:trPr>
        <w:tc>
          <w:tcPr>
            <w:tcW w:type="dxa" w:w="1250"/>
            <w:vAlign w:val="top"/>
            <w:tcMar>
              <w:top w:w="70" w:type="dxa"/>
              <w:start w:w="80" w:type="dxa"/>
              <w:bottom w:w="70" w:type="dxa"/>
              <w:end w:w="80" w:type="dxa"/>
            </w:tcMar>
          </w:tcPr>
          <w:p>
            <w:r>
              <w:rPr>
                <w:rFonts w:ascii="Arial" w:hAnsi="Arial" w:eastAsia="Arial"/>
                <w:sz w:val="14"/>
              </w:rPr>
              <w:t>Неправомерный доступ</w:t>
            </w:r>
          </w:p>
        </w:tc>
        <w:tc>
          <w:tcPr>
            <w:tcW w:type="dxa" w:w="1550"/>
            <w:vAlign w:val="top"/>
            <w:tcMar>
              <w:top w:w="70" w:type="dxa"/>
              <w:start w:w="80" w:type="dxa"/>
              <w:bottom w:w="70" w:type="dxa"/>
              <w:end w:w="80" w:type="dxa"/>
            </w:tcMar>
          </w:tcPr>
          <w:p>
            <w:r>
              <w:rPr>
                <w:rFonts w:ascii="Arial" w:hAnsi="Arial" w:eastAsia="Arial"/>
                <w:sz w:val="14"/>
              </w:rPr>
              <w:t>Широкие права ролей, ошибки настройки, передача выгрузок за контур.</w:t>
            </w:r>
          </w:p>
        </w:tc>
        <w:tc>
          <w:tcPr>
            <w:tcW w:type="dxa" w:w="1550"/>
            <w:vAlign w:val="top"/>
            <w:tcMar>
              <w:top w:w="70" w:type="dxa"/>
              <w:start w:w="80" w:type="dxa"/>
              <w:bottom w:w="70" w:type="dxa"/>
              <w:end w:w="80" w:type="dxa"/>
            </w:tcMar>
          </w:tcPr>
          <w:p>
            <w:r>
              <w:rPr>
                <w:rFonts w:ascii="Arial" w:hAnsi="Arial" w:eastAsia="Arial"/>
                <w:sz w:val="14"/>
              </w:rPr>
              <w:t>Раскрытие данных хозяйств, объектов или проверок.</w:t>
            </w:r>
          </w:p>
        </w:tc>
        <w:tc>
          <w:tcPr>
            <w:tcW w:type="dxa" w:w="1700"/>
            <w:vAlign w:val="top"/>
            <w:tcMar>
              <w:top w:w="70" w:type="dxa"/>
              <w:start w:w="80" w:type="dxa"/>
              <w:bottom w:w="70" w:type="dxa"/>
              <w:end w:w="80" w:type="dxa"/>
            </w:tcMar>
          </w:tcPr>
          <w:p>
            <w:r>
              <w:rPr>
                <w:rFonts w:ascii="Arial" w:hAnsi="Arial" w:eastAsia="Arial"/>
                <w:sz w:val="14"/>
              </w:rPr>
              <w:t>Ролевой доступ, журналирование, аудит.</w:t>
            </w:r>
          </w:p>
        </w:tc>
        <w:tc>
          <w:tcPr>
            <w:tcW w:type="dxa" w:w="1050"/>
            <w:vAlign w:val="top"/>
            <w:tcMar>
              <w:top w:w="70" w:type="dxa"/>
              <w:start w:w="80" w:type="dxa"/>
              <w:bottom w:w="70" w:type="dxa"/>
              <w:end w:w="80" w:type="dxa"/>
            </w:tcMar>
          </w:tcPr>
          <w:p>
            <w:r>
              <w:rPr>
                <w:rFonts w:ascii="Arial" w:hAnsi="Arial" w:eastAsia="Arial"/>
                <w:sz w:val="14"/>
              </w:rPr>
              <w:t>Оператор</w:t>
            </w:r>
          </w:p>
        </w:tc>
        <w:tc>
          <w:tcPr>
            <w:tcW w:type="dxa" w:w="1550"/>
            <w:vAlign w:val="top"/>
            <w:tcMar>
              <w:top w:w="70" w:type="dxa"/>
              <w:start w:w="80" w:type="dxa"/>
              <w:bottom w:w="70" w:type="dxa"/>
              <w:end w:w="80" w:type="dxa"/>
            </w:tcMar>
          </w:tcPr>
          <w:p>
            <w:r>
              <w:rPr>
                <w:rFonts w:ascii="Arial" w:hAnsi="Arial" w:eastAsia="Arial"/>
                <w:sz w:val="14"/>
              </w:rPr>
              <w:t>Инциденты возможны и выявляются постфактум по журналу доступа.</w:t>
            </w:r>
          </w:p>
        </w:tc>
        <w:tc>
          <w:tcPr>
            <w:tcW w:type="dxa" w:w="1435"/>
            <w:vAlign w:val="top"/>
            <w:tcMar>
              <w:top w:w="70" w:type="dxa"/>
              <w:start w:w="80" w:type="dxa"/>
              <w:bottom w:w="70" w:type="dxa"/>
              <w:end w:w="80" w:type="dxa"/>
            </w:tcMar>
          </w:tcPr>
          <w:p>
            <w:r>
              <w:rPr>
                <w:rFonts w:ascii="Arial" w:hAnsi="Arial" w:eastAsia="Arial"/>
                <w:sz w:val="14"/>
              </w:rPr>
              <w:t>Остаётся риск ошибки пользователя/администратора.</w:t>
            </w:r>
          </w:p>
        </w:tc>
      </w:tr>
      <w:tr>
        <w:trPr>
          <w:cantSplit/>
        </w:trPr>
        <w:tc>
          <w:tcPr>
            <w:tcW w:type="dxa" w:w="1250"/>
            <w:vAlign w:val="top"/>
            <w:tcMar>
              <w:top w:w="70" w:type="dxa"/>
              <w:start w:w="80" w:type="dxa"/>
              <w:bottom w:w="70" w:type="dxa"/>
              <w:end w:w="80" w:type="dxa"/>
            </w:tcMar>
          </w:tcPr>
          <w:p>
            <w:r>
              <w:rPr>
                <w:rFonts w:ascii="Arial" w:hAnsi="Arial" w:eastAsia="Arial"/>
                <w:sz w:val="16"/>
              </w:rPr>
              <w:t>Спрос ниже модели</w:t>
            </w:r>
          </w:p>
        </w:tc>
        <w:tc>
          <w:tcPr>
            <w:tcW w:type="dxa" w:w="1550"/>
            <w:vAlign w:val="top"/>
            <w:tcMar>
              <w:top w:w="70" w:type="dxa"/>
              <w:start w:w="80" w:type="dxa"/>
              <w:bottom w:w="70" w:type="dxa"/>
              <w:end w:w="80" w:type="dxa"/>
            </w:tcMar>
          </w:tcPr>
          <w:p>
            <w:r>
              <w:rPr>
                <w:sz w:val="16"/>
              </w:rPr>
              <w:t>Коммерческие поступления AGRI и TRANS заданы моделью кейса и не подтверждены договорами или ценовыми тестами.</w:t>
            </w:r>
          </w:p>
        </w:tc>
        <w:tc>
          <w:tcPr>
            <w:tcW w:type="dxa" w:w="1550"/>
            <w:vAlign w:val="top"/>
            <w:tcMar>
              <w:top w:w="70" w:type="dxa"/>
              <w:start w:w="80" w:type="dxa"/>
              <w:bottom w:w="70" w:type="dxa"/>
              <w:end w:w="80" w:type="dxa"/>
            </w:tcMar>
          </w:tcPr>
          <w:p>
            <w:r>
              <w:rPr>
                <w:sz w:val="16"/>
              </w:rPr>
              <w:t>AGRI/TRANS теряют окупаемость; диагностический S2 при commercial cash = 0 показывает OPEX-gap 123 млн руб./год при K_cash = 0,607. S2 не является официальным STRESS и по умолчанию не фильтрует ranking.</w:t>
            </w:r>
          </w:p>
        </w:tc>
        <w:tc>
          <w:tcPr>
            <w:tcW w:type="dxa" w:w="1700"/>
            <w:vAlign w:val="top"/>
            <w:tcMar>
              <w:top w:w="70" w:type="dxa"/>
              <w:start w:w="80" w:type="dxa"/>
              <w:bottom w:w="70" w:type="dxa"/>
              <w:end w:w="80" w:type="dxa"/>
            </w:tcMar>
          </w:tcPr>
          <w:p>
            <w:r>
              <w:rPr>
                <w:rFonts w:ascii="Arial" w:hAnsi="Arial" w:eastAsia="Arial"/>
                <w:sz w:val="16"/>
              </w:rPr>
              <w:t>10-летний срок ГЧП, поэтапный запуск, тарифные тесты.</w:t>
            </w:r>
          </w:p>
        </w:tc>
        <w:tc>
          <w:tcPr>
            <w:tcW w:type="dxa" w:w="1050"/>
            <w:vAlign w:val="top"/>
            <w:tcMar>
              <w:top w:w="70" w:type="dxa"/>
              <w:start w:w="80" w:type="dxa"/>
              <w:bottom w:w="70" w:type="dxa"/>
              <w:end w:w="80" w:type="dxa"/>
            </w:tcMar>
          </w:tcPr>
          <w:p>
            <w:r>
              <w:rPr>
                <w:rFonts w:ascii="Arial" w:hAnsi="Arial" w:eastAsia="Arial"/>
                <w:sz w:val="16"/>
              </w:rPr>
              <w:t>Частный партнёр</w:t>
            </w:r>
          </w:p>
        </w:tc>
        <w:tc>
          <w:tcPr>
            <w:tcW w:type="dxa" w:w="1550"/>
            <w:vAlign w:val="top"/>
            <w:tcMar>
              <w:top w:w="70" w:type="dxa"/>
              <w:start w:w="80" w:type="dxa"/>
              <w:bottom w:w="70" w:type="dxa"/>
              <w:end w:w="80" w:type="dxa"/>
            </w:tcMar>
          </w:tcPr>
          <w:p>
            <w:r>
              <w:rPr>
                <w:rFonts w:ascii="Arial" w:hAnsi="Arial" w:eastAsia="Arial"/>
                <w:sz w:val="16"/>
              </w:rPr>
              <w:t>При нулевой коммерческой выручке якорных 190 млн руб./год хватает на K_cash 0,607, но 123 млн руб./год OPEX остаются непокрытыми.</w:t>
            </w:r>
          </w:p>
        </w:tc>
        <w:tc>
          <w:tcPr>
            <w:tcW w:type="dxa" w:w="1435"/>
            <w:vAlign w:val="top"/>
            <w:tcMar>
              <w:top w:w="70" w:type="dxa"/>
              <w:start w:w="80" w:type="dxa"/>
              <w:bottom w:w="70" w:type="dxa"/>
              <w:end w:w="80" w:type="dxa"/>
            </w:tcMar>
          </w:tcPr>
          <w:p>
            <w:r>
              <w:rPr>
                <w:rFonts w:ascii="Arial" w:hAnsi="Arial" w:eastAsia="Arial"/>
                <w:sz w:val="16"/>
              </w:rPr>
              <w:t>При спросе ниже 40% плана возможен пересмотр платы.</w:t>
            </w:r>
          </w:p>
        </w:tc>
      </w:tr>
      <w:tr>
        <w:trPr>
          <w:cantSplit/>
        </w:trPr>
        <w:tc>
          <w:tcPr>
            <w:tcW w:type="dxa" w:w="1250"/>
            <w:vAlign w:val="top"/>
            <w:tcMar>
              <w:top w:w="70" w:type="dxa"/>
              <w:start w:w="80" w:type="dxa"/>
              <w:bottom w:w="70" w:type="dxa"/>
              <w:end w:w="80" w:type="dxa"/>
            </w:tcMar>
          </w:tcPr>
          <w:p>
            <w:r>
              <w:rPr>
                <w:rFonts w:ascii="Arial" w:hAnsi="Arial" w:eastAsia="Arial"/>
                <w:sz w:val="14"/>
              </w:rPr>
              <w:t>Задержка бюджетных платежей</w:t>
            </w:r>
          </w:p>
        </w:tc>
        <w:tc>
          <w:tcPr>
            <w:tcW w:type="dxa" w:w="1550"/>
            <w:vAlign w:val="top"/>
            <w:tcMar>
              <w:top w:w="70" w:type="dxa"/>
              <w:start w:w="80" w:type="dxa"/>
              <w:bottom w:w="70" w:type="dxa"/>
              <w:end w:w="80" w:type="dxa"/>
            </w:tcMar>
          </w:tcPr>
          <w:p>
            <w:r>
              <w:rPr>
                <w:rFonts w:ascii="Arial" w:hAnsi="Arial" w:eastAsia="Arial"/>
                <w:sz w:val="14"/>
              </w:rPr>
              <w:t>Сроки бюджетного цикла и закупочных процедур не совпадают с графиком эксплуатации.</w:t>
            </w:r>
          </w:p>
        </w:tc>
        <w:tc>
          <w:tcPr>
            <w:tcW w:type="dxa" w:w="1550"/>
            <w:vAlign w:val="top"/>
            <w:tcMar>
              <w:top w:w="70" w:type="dxa"/>
              <w:start w:w="80" w:type="dxa"/>
              <w:bottom w:w="70" w:type="dxa"/>
              <w:end w:w="80" w:type="dxa"/>
            </w:tcMar>
          </w:tcPr>
          <w:p>
            <w:r>
              <w:rPr>
                <w:rFonts w:ascii="Arial" w:hAnsi="Arial" w:eastAsia="Arial"/>
                <w:sz w:val="14"/>
              </w:rPr>
              <w:t>Кассовый разрыв и риск срыва обновлений FIRE/ENV.</w:t>
            </w:r>
          </w:p>
        </w:tc>
        <w:tc>
          <w:tcPr>
            <w:tcW w:type="dxa" w:w="1700"/>
            <w:vAlign w:val="top"/>
            <w:tcMar>
              <w:top w:w="70" w:type="dxa"/>
              <w:start w:w="80" w:type="dxa"/>
              <w:bottom w:w="70" w:type="dxa"/>
              <w:end w:w="80" w:type="dxa"/>
            </w:tcMar>
          </w:tcPr>
          <w:p>
            <w:r>
              <w:rPr>
                <w:rFonts w:ascii="Arial" w:hAnsi="Arial" w:eastAsia="Arial"/>
                <w:sz w:val="14"/>
              </w:rPr>
              <w:t>Авансирование/этапные платежи, ответственность за просрочку, резерв ликвидности.</w:t>
            </w:r>
          </w:p>
        </w:tc>
        <w:tc>
          <w:tcPr>
            <w:tcW w:type="dxa" w:w="1050"/>
            <w:vAlign w:val="top"/>
            <w:tcMar>
              <w:top w:w="70" w:type="dxa"/>
              <w:start w:w="80" w:type="dxa"/>
              <w:bottom w:w="70" w:type="dxa"/>
              <w:end w:w="80" w:type="dxa"/>
            </w:tcMar>
          </w:tcPr>
          <w:p>
            <w:r>
              <w:rPr>
                <w:rFonts w:ascii="Arial" w:hAnsi="Arial" w:eastAsia="Arial"/>
                <w:sz w:val="14"/>
              </w:rPr>
              <w:t>Публичный заказчик / оператор</w:t>
            </w:r>
          </w:p>
        </w:tc>
        <w:tc>
          <w:tcPr>
            <w:tcW w:type="dxa" w:w="1550"/>
            <w:vAlign w:val="top"/>
            <w:tcMar>
              <w:top w:w="70" w:type="dxa"/>
              <w:start w:w="80" w:type="dxa"/>
              <w:bottom w:w="70" w:type="dxa"/>
              <w:end w:w="80" w:type="dxa"/>
            </w:tcMar>
          </w:tcPr>
          <w:p>
            <w:r>
              <w:rPr>
                <w:rFonts w:ascii="Arial" w:hAnsi="Arial" w:eastAsia="Arial"/>
                <w:sz w:val="14"/>
              </w:rPr>
              <w:t>Кассовый разрыв сохраняется в пределах срока казначейского исполнения.</w:t>
            </w:r>
          </w:p>
        </w:tc>
        <w:tc>
          <w:tcPr>
            <w:tcW w:type="dxa" w:w="1435"/>
            <w:vAlign w:val="top"/>
            <w:tcMar>
              <w:top w:w="70" w:type="dxa"/>
              <w:start w:w="80" w:type="dxa"/>
              <w:bottom w:w="70" w:type="dxa"/>
              <w:end w:w="80" w:type="dxa"/>
            </w:tcMar>
          </w:tcPr>
          <w:p>
            <w:r>
              <w:rPr>
                <w:rFonts w:ascii="Arial" w:hAnsi="Arial" w:eastAsia="Arial"/>
                <w:sz w:val="14"/>
              </w:rPr>
              <w:t>Точная договорная применимость требует юридической проверки.</w:t>
            </w:r>
          </w:p>
        </w:tc>
      </w:tr>
      <w:tr>
        <w:trPr>
          <w:cantSplit/>
        </w:trPr>
        <w:tc>
          <w:tcPr>
            <w:tcW w:type="dxa" w:w="1250"/>
          </w:tcPr>
          <w:p>
            <w:r>
              <w:rPr>
                <w:sz w:val="14"/>
              </w:rPr>
              <w:t>KPI ошибочно приписывает эффект сервису</w:t>
            </w:r>
          </w:p>
        </w:tc>
        <w:tc>
          <w:tcPr>
            <w:tcW w:type="dxa" w:w="1550"/>
          </w:tcPr>
          <w:p>
            <w:r>
              <w:rPr>
                <w:sz w:val="14"/>
              </w:rPr>
              <w:t>На конечный результат влияют погода, сезон и наземное реагирование.</w:t>
            </w:r>
          </w:p>
        </w:tc>
        <w:tc>
          <w:tcPr>
            <w:tcW w:type="dxa" w:w="1550"/>
          </w:tcPr>
          <w:p>
            <w:r>
              <w:rPr>
                <w:sz w:val="14"/>
              </w:rPr>
              <w:t>Завышена общественная ценность и управленческий вывод.</w:t>
            </w:r>
          </w:p>
        </w:tc>
        <w:tc>
          <w:tcPr>
            <w:tcW w:type="dxa" w:w="1700"/>
          </w:tcPr>
          <w:p>
            <w:r>
              <w:rPr>
                <w:sz w:val="14"/>
              </w:rPr>
              <w:t>Разделять выпуск сервиса, действие пользователя и конечный эффект; сопоставлять с наземными данными.</w:t>
            </w:r>
          </w:p>
        </w:tc>
        <w:tc>
          <w:tcPr>
            <w:tcW w:type="dxa" w:w="1050"/>
          </w:tcPr>
          <w:p>
            <w:r>
              <w:rPr>
                <w:sz w:val="14"/>
              </w:rPr>
              <w:t>Аналитик / принимающая сторона</w:t>
            </w:r>
          </w:p>
        </w:tc>
        <w:tc>
          <w:tcPr>
            <w:tcW w:type="dxa" w:w="1550"/>
          </w:tcPr>
          <w:p>
            <w:r>
              <w:rPr>
                <w:sz w:val="14"/>
              </w:rPr>
              <w:t>Часть эффекта остаётся неразделимой; KPI трактуются как индикаторы, а не доказательство.</w:t>
            </w:r>
          </w:p>
        </w:tc>
        <w:tc>
          <w:tcPr>
            <w:tcW w:type="dxa" w:w="1435"/>
          </w:tcPr>
          <w:p>
            <w:r>
              <w:rPr>
                <w:sz w:val="14"/>
              </w:rPr>
              <w:t>Полностью отделить влияние погоды, сезона и наземного реагирования может быть невозможно.</w:t>
            </w:r>
          </w:p>
        </w:tc>
      </w:tr>
    </w:tbl>
    <w:p>
      <w:pPr>
        <w:spacing w:after="0"/>
      </w:pPr>
    </w:p>
    <w:p>
      <w:r>
        <w:rPr>
          <w:rFonts w:ascii="Arial" w:hAnsi="Arial" w:eastAsia="Arial"/>
          <w:sz w:val="21"/>
        </w:rPr>
        <w:t xml:space="preserve">Основания этого раздела: Melamed и др. (2024) показывают, что расширение ГЧП повышает зависимость государства от частных поставщиков, а Zancan и др. (2026) разбирают условия, при которых закупочная стратегия сохраняет конкуренцию. Отсюда требования второго квалифицированного источника, открытых форматов, права заказчика на историю данных и контрольного пересчёта при смене поставщика.</w:t>
      </w:r>
    </w:p>
    <w:p>
      <w:r>
        <w:rPr>
          <w:rFonts w:ascii="Arial" w:hAnsi="Arial" w:eastAsia="Arial"/>
          <w:sz w:val="21"/>
        </w:rPr>
        <w:t>Правило смены поставщика: процедура запускается при повторном нарушении критического SLA после периода исправления, повторном непрохождении качества, утрате права на используемые данные, необоснованном превышении договорного ценового предела или отказе предоставить данные и документацию в открытом формате. Действующий поставщик передаёт историю, настройки, API и журналы качества; новый проходит контрольный пересчёт на эталонном наборе и период параллельной эксплуатации. Точные пороги и сроки должны быть зафиксированы в договоре после пилота.</w:t>
      </w:r>
    </w:p>
    <w:p>
      <w:pPr/>
      <w:r>
        <w:t>Рыночная конкуренция поддерживается раздельной закупкой совместимых компонентов и периодов услуги — исходных данных, обработки, интеграции и поддержки — при единых SLA, контрольном наборе, открытых форматах и праве заказчика на историю. Для критических групп предусматриваются минимум два квалифицированных источника либо документированный наземный резерв. Если фактический рынок не даёт двух сопоставимых поставщиков с нужными правами и покрытием, команда не заявляет формальную конкуренцию: ограничение фиксируется, а контроль цены, качества и переносимости усиливается.</w:t>
      </w:r>
    </w:p>
    <w:p>
      <w:r/>
    </w:p>
    <w:p>
      <w:pPr>
        <w:pStyle w:val="Heading1"/>
      </w:pPr>
      <w:r>
        <w:t>9. Стресс-сценарий</w:t>
      </w:r>
    </w:p>
    <w:p>
      <w:pPr/>
      <w:r>
        <w:rPr>
          <w:rFonts w:ascii="Arial" w:hAnsi="Arial" w:eastAsia="Arial"/>
          <w:sz w:val="21"/>
        </w:rPr>
        <w:t>Официальный STRESS меняет только предел c0: 1 300 → 1 180 млн руб. Исходная стоимость лотов не меняется. FINAL имеет c0 = 1 140 млн руб., поэтому состав и режимы сохраняются. Запас 40 млн руб. — около 3,4% стресс-лимита; удорожание самого портфеля примерно на 3,5% уже нарушает ограничение. OPEX выдерживает рост примерно до 15%, а при +20% превышает предел 360 млн руб./год. Снижение vpub на 20% и cash на 20% формальные ограничения FINAL не нарушает.</w:t>
      </w:r>
    </w:p>
    <w:tbl>
      <w:tblPr>
        <w:tblStyle w:val="TableGrid"/>
        <w:tblW w:type="auto" w:w="0"/>
        <w:jc w:val="center"/>
        <w:tblLook w:firstColumn="1" w:firstRow="1" w:lastColumn="0" w:lastRow="0" w:noHBand="0" w:noVBand="1" w:val="04A0"/>
      </w:tblPr>
      <w:tblGrid>
        <w:gridCol w:w="2017"/>
        <w:gridCol w:w="2017"/>
        <w:gridCol w:w="2017"/>
        <w:gridCol w:w="2017"/>
        <w:gridCol w:w="2017"/>
      </w:tblGrid>
      <w:tr>
        <w:trPr>
          <w:tblHeader w:val="true"/>
          <w:cantSplit/>
        </w:trPr>
        <w:tc>
          <w:tcPr>
            <w:tcW w:type="dxa" w:w="2494"/>
            <w:shd w:fill="D9D9D9"/>
            <w:vAlign w:val="center"/>
            <w:tcMar>
              <w:top w:w="70" w:type="dxa"/>
              <w:start w:w="80" w:type="dxa"/>
              <w:bottom w:w="70" w:type="dxa"/>
              <w:end w:w="80" w:type="dxa"/>
            </w:tcMar>
          </w:tcPr>
          <w:p>
            <w:pPr>
              <w:jc w:val="center"/>
            </w:pPr>
            <w:r>
              <w:rPr>
                <w:rFonts w:ascii="Arial" w:hAnsi="Arial" w:eastAsia="Arial"/>
                <w:b/>
                <w:sz w:val="16"/>
              </w:rPr>
              <w:t>Показатель</w:t>
            </w:r>
          </w:p>
        </w:tc>
        <w:tc>
          <w:tcPr>
            <w:tcW w:type="dxa" w:w="2154"/>
            <w:shd w:fill="D9D9D9"/>
            <w:vAlign w:val="center"/>
            <w:tcMar>
              <w:top w:w="70" w:type="dxa"/>
              <w:start w:w="80" w:type="dxa"/>
              <w:bottom w:w="70" w:type="dxa"/>
              <w:end w:w="80" w:type="dxa"/>
            </w:tcMar>
          </w:tcPr>
          <w:p>
            <w:pPr>
              <w:jc w:val="center"/>
            </w:pPr>
            <w:r>
              <w:rPr>
                <w:rFonts w:ascii="Arial" w:hAnsi="Arial" w:eastAsia="Arial"/>
                <w:b/>
                <w:sz w:val="16"/>
              </w:rPr>
              <w:t>Требование STRESS</w:t>
            </w:r>
          </w:p>
        </w:tc>
        <w:tc>
          <w:tcPr>
            <w:tcW w:type="dxa" w:w="1701"/>
            <w:shd w:fill="D9D9D9"/>
            <w:vAlign w:val="center"/>
            <w:tcMar>
              <w:top w:w="70" w:type="dxa"/>
              <w:start w:w="80" w:type="dxa"/>
              <w:bottom w:w="70" w:type="dxa"/>
              <w:end w:w="80" w:type="dxa"/>
            </w:tcMar>
          </w:tcPr>
          <w:p>
            <w:pPr>
              <w:jc w:val="center"/>
            </w:pPr>
            <w:r>
              <w:rPr>
                <w:rFonts w:ascii="Arial" w:hAnsi="Arial" w:eastAsia="Arial"/>
                <w:b/>
                <w:sz w:val="16"/>
              </w:rPr>
              <w:t>Факт</w:t>
            </w:r>
          </w:p>
        </w:tc>
        <w:tc>
          <w:tcPr>
            <w:tcW w:type="dxa" w:w="1474"/>
            <w:shd w:fill="D9D9D9"/>
            <w:vAlign w:val="center"/>
            <w:tcMar>
              <w:top w:w="70" w:type="dxa"/>
              <w:start w:w="80" w:type="dxa"/>
              <w:bottom w:w="70" w:type="dxa"/>
              <w:end w:w="80" w:type="dxa"/>
            </w:tcMar>
          </w:tcPr>
          <w:p>
            <w:pPr>
              <w:jc w:val="center"/>
            </w:pPr>
            <w:r>
              <w:rPr>
                <w:rFonts w:ascii="Arial" w:hAnsi="Arial" w:eastAsia="Arial"/>
                <w:b/>
                <w:sz w:val="16"/>
              </w:rPr>
              <w:t>Запас</w:t>
            </w:r>
          </w:p>
        </w:tc>
        <w:tc>
          <w:tcPr>
            <w:tcW w:type="dxa" w:w="1361"/>
            <w:shd w:fill="D9D9D9"/>
            <w:vAlign w:val="center"/>
            <w:tcMar>
              <w:top w:w="70" w:type="dxa"/>
              <w:start w:w="80" w:type="dxa"/>
              <w:bottom w:w="70" w:type="dxa"/>
              <w:end w:w="80" w:type="dxa"/>
            </w:tcMar>
          </w:tcPr>
          <w:p>
            <w:pPr>
              <w:jc w:val="center"/>
            </w:pPr>
            <w:r>
              <w:rPr>
                <w:rFonts w:ascii="Arial" w:hAnsi="Arial" w:eastAsia="Arial"/>
                <w:b/>
                <w:sz w:val="16"/>
              </w:rPr>
              <w:t>Статус</w:t>
            </w:r>
          </w:p>
        </w:tc>
      </w:tr>
      <w:tr>
        <w:trPr>
          <w:cantSplit/>
        </w:trPr>
        <w:tc>
          <w:tcPr>
            <w:tcW w:type="dxa" w:w="2494"/>
            <w:vAlign w:val="top"/>
            <w:tcMar>
              <w:top w:w="70" w:type="dxa"/>
              <w:start w:w="80" w:type="dxa"/>
              <w:bottom w:w="70" w:type="dxa"/>
              <w:end w:w="80" w:type="dxa"/>
            </w:tcMar>
          </w:tcPr>
          <w:p>
            <w:r>
              <w:rPr>
                <w:rFonts w:ascii="Arial" w:hAnsi="Arial" w:eastAsia="Arial"/>
                <w:sz w:val="16"/>
              </w:rPr>
              <w:t>c0</w:t>
            </w:r>
          </w:p>
        </w:tc>
        <w:tc>
          <w:tcPr>
            <w:tcW w:type="dxa" w:w="2154"/>
            <w:vAlign w:val="top"/>
            <w:tcMar>
              <w:top w:w="70" w:type="dxa"/>
              <w:start w:w="80" w:type="dxa"/>
              <w:bottom w:w="70" w:type="dxa"/>
              <w:end w:w="80" w:type="dxa"/>
            </w:tcMar>
          </w:tcPr>
          <w:p>
            <w:r>
              <w:rPr>
                <w:rFonts w:ascii="Arial" w:hAnsi="Arial" w:eastAsia="Arial"/>
                <w:sz w:val="16"/>
              </w:rPr>
              <w:t>≤ 1 180</w:t>
            </w:r>
          </w:p>
        </w:tc>
        <w:tc>
          <w:tcPr>
            <w:tcW w:type="dxa" w:w="1701"/>
            <w:vAlign w:val="top"/>
            <w:tcMar>
              <w:top w:w="70" w:type="dxa"/>
              <w:start w:w="80" w:type="dxa"/>
              <w:bottom w:w="70" w:type="dxa"/>
              <w:end w:w="80" w:type="dxa"/>
            </w:tcMar>
          </w:tcPr>
          <w:p>
            <w:r>
              <w:rPr>
                <w:rFonts w:ascii="Arial" w:hAnsi="Arial" w:eastAsia="Arial"/>
                <w:sz w:val="16"/>
              </w:rPr>
              <w:t>1 140</w:t>
            </w:r>
          </w:p>
        </w:tc>
        <w:tc>
          <w:tcPr>
            <w:tcW w:type="dxa" w:w="1474"/>
            <w:vAlign w:val="top"/>
            <w:tcMar>
              <w:top w:w="70" w:type="dxa"/>
              <w:start w:w="80" w:type="dxa"/>
              <w:bottom w:w="70" w:type="dxa"/>
              <w:end w:w="80" w:type="dxa"/>
            </w:tcMar>
          </w:tcPr>
          <w:p>
            <w:r>
              <w:rPr>
                <w:rFonts w:ascii="Arial" w:hAnsi="Arial" w:eastAsia="Arial"/>
                <w:sz w:val="16"/>
              </w:rPr>
              <w:t>40</w:t>
            </w:r>
          </w:p>
        </w:tc>
        <w:tc>
          <w:tcPr>
            <w:tcW w:type="dxa" w:w="1361"/>
            <w:vAlign w:val="top"/>
            <w:tcMar>
              <w:top w:w="70" w:type="dxa"/>
              <w:start w:w="80" w:type="dxa"/>
              <w:bottom w:w="70" w:type="dxa"/>
              <w:end w:w="80" w:type="dxa"/>
            </w:tcMar>
          </w:tcPr>
          <w:p>
            <w:r>
              <w:rPr>
                <w:rFonts w:ascii="Arial" w:hAnsi="Arial" w:eastAsia="Arial"/>
                <w:sz w:val="16"/>
              </w:rPr>
              <w:t>PASS</w:t>
            </w:r>
          </w:p>
        </w:tc>
      </w:tr>
      <w:tr>
        <w:trPr>
          <w:cantSplit/>
        </w:trPr>
        <w:tc>
          <w:tcPr>
            <w:tcW w:type="dxa" w:w="2494"/>
            <w:vAlign w:val="top"/>
            <w:tcMar>
              <w:top w:w="70" w:type="dxa"/>
              <w:start w:w="80" w:type="dxa"/>
              <w:bottom w:w="70" w:type="dxa"/>
              <w:end w:w="80" w:type="dxa"/>
            </w:tcMar>
          </w:tcPr>
          <w:p>
            <w:r>
              <w:rPr>
                <w:rFonts w:ascii="Arial" w:hAnsi="Arial" w:eastAsia="Arial"/>
                <w:sz w:val="16"/>
              </w:rPr>
              <w:t>OPEX</w:t>
            </w:r>
          </w:p>
        </w:tc>
        <w:tc>
          <w:tcPr>
            <w:tcW w:type="dxa" w:w="2154"/>
            <w:vAlign w:val="top"/>
            <w:tcMar>
              <w:top w:w="70" w:type="dxa"/>
              <w:start w:w="80" w:type="dxa"/>
              <w:bottom w:w="70" w:type="dxa"/>
              <w:end w:w="80" w:type="dxa"/>
            </w:tcMar>
          </w:tcPr>
          <w:p>
            <w:r>
              <w:rPr>
                <w:rFonts w:ascii="Arial" w:hAnsi="Arial" w:eastAsia="Arial"/>
                <w:sz w:val="16"/>
              </w:rPr>
              <w:t>≤ 360</w:t>
            </w:r>
          </w:p>
        </w:tc>
        <w:tc>
          <w:tcPr>
            <w:tcW w:type="dxa" w:w="1701"/>
            <w:vAlign w:val="top"/>
            <w:tcMar>
              <w:top w:w="70" w:type="dxa"/>
              <w:start w:w="80" w:type="dxa"/>
              <w:bottom w:w="70" w:type="dxa"/>
              <w:end w:w="80" w:type="dxa"/>
            </w:tcMar>
          </w:tcPr>
          <w:p>
            <w:r>
              <w:rPr>
                <w:rFonts w:ascii="Arial" w:hAnsi="Arial" w:eastAsia="Arial"/>
                <w:sz w:val="16"/>
              </w:rPr>
              <w:t>313</w:t>
            </w:r>
          </w:p>
        </w:tc>
        <w:tc>
          <w:tcPr>
            <w:tcW w:type="dxa" w:w="1474"/>
            <w:vAlign w:val="top"/>
            <w:tcMar>
              <w:top w:w="70" w:type="dxa"/>
              <w:start w:w="80" w:type="dxa"/>
              <w:bottom w:w="70" w:type="dxa"/>
              <w:end w:w="80" w:type="dxa"/>
            </w:tcMar>
          </w:tcPr>
          <w:p>
            <w:r>
              <w:rPr>
                <w:rFonts w:ascii="Arial" w:hAnsi="Arial" w:eastAsia="Arial"/>
                <w:sz w:val="16"/>
              </w:rPr>
              <w:t>47</w:t>
            </w:r>
          </w:p>
        </w:tc>
        <w:tc>
          <w:tcPr>
            <w:tcW w:type="dxa" w:w="1361"/>
            <w:vAlign w:val="top"/>
            <w:tcMar>
              <w:top w:w="70" w:type="dxa"/>
              <w:start w:w="80" w:type="dxa"/>
              <w:bottom w:w="70" w:type="dxa"/>
              <w:end w:w="80" w:type="dxa"/>
            </w:tcMar>
          </w:tcPr>
          <w:p>
            <w:r>
              <w:rPr>
                <w:rFonts w:ascii="Arial" w:hAnsi="Arial" w:eastAsia="Arial"/>
                <w:sz w:val="16"/>
              </w:rPr>
              <w:t>PASS</w:t>
            </w:r>
          </w:p>
        </w:tc>
      </w:tr>
      <w:tr>
        <w:trPr>
          <w:cantSplit/>
        </w:trPr>
        <w:tc>
          <w:tcPr>
            <w:tcW w:type="dxa" w:w="2494"/>
            <w:vAlign w:val="top"/>
            <w:tcMar>
              <w:top w:w="70" w:type="dxa"/>
              <w:start w:w="80" w:type="dxa"/>
              <w:bottom w:w="70" w:type="dxa"/>
              <w:end w:w="80" w:type="dxa"/>
            </w:tcMar>
          </w:tcPr>
          <w:p>
            <w:r>
              <w:rPr>
                <w:rFonts w:ascii="Arial" w:hAnsi="Arial" w:eastAsia="Arial"/>
                <w:sz w:val="16"/>
              </w:rPr>
              <w:t>vpub</w:t>
            </w:r>
          </w:p>
        </w:tc>
        <w:tc>
          <w:tcPr>
            <w:tcW w:type="dxa" w:w="2154"/>
            <w:vAlign w:val="top"/>
            <w:tcMar>
              <w:top w:w="70" w:type="dxa"/>
              <w:start w:w="80" w:type="dxa"/>
              <w:bottom w:w="70" w:type="dxa"/>
              <w:end w:w="80" w:type="dxa"/>
            </w:tcMar>
          </w:tcPr>
          <w:p>
            <w:r>
              <w:rPr>
                <w:rFonts w:ascii="Arial" w:hAnsi="Arial" w:eastAsia="Arial"/>
                <w:sz w:val="16"/>
              </w:rPr>
              <w:t>≥ 1 000</w:t>
            </w:r>
          </w:p>
        </w:tc>
        <w:tc>
          <w:tcPr>
            <w:tcW w:type="dxa" w:w="1701"/>
            <w:vAlign w:val="top"/>
            <w:tcMar>
              <w:top w:w="70" w:type="dxa"/>
              <w:start w:w="80" w:type="dxa"/>
              <w:bottom w:w="70" w:type="dxa"/>
              <w:end w:w="80" w:type="dxa"/>
            </w:tcMar>
          </w:tcPr>
          <w:p>
            <w:r>
              <w:rPr>
                <w:rFonts w:ascii="Arial" w:hAnsi="Arial" w:eastAsia="Arial"/>
                <w:sz w:val="16"/>
              </w:rPr>
              <w:t>1 289</w:t>
            </w:r>
          </w:p>
        </w:tc>
        <w:tc>
          <w:tcPr>
            <w:tcW w:type="dxa" w:w="1474"/>
            <w:vAlign w:val="top"/>
            <w:tcMar>
              <w:top w:w="70" w:type="dxa"/>
              <w:start w:w="80" w:type="dxa"/>
              <w:bottom w:w="70" w:type="dxa"/>
              <w:end w:w="80" w:type="dxa"/>
            </w:tcMar>
          </w:tcPr>
          <w:p>
            <w:r>
              <w:rPr>
                <w:rFonts w:ascii="Arial" w:hAnsi="Arial" w:eastAsia="Arial"/>
                <w:sz w:val="16"/>
              </w:rPr>
              <w:t>289</w:t>
            </w:r>
          </w:p>
        </w:tc>
        <w:tc>
          <w:tcPr>
            <w:tcW w:type="dxa" w:w="1361"/>
            <w:vAlign w:val="top"/>
            <w:tcMar>
              <w:top w:w="70" w:type="dxa"/>
              <w:start w:w="80" w:type="dxa"/>
              <w:bottom w:w="70" w:type="dxa"/>
              <w:end w:w="80" w:type="dxa"/>
            </w:tcMar>
          </w:tcPr>
          <w:p>
            <w:r>
              <w:rPr>
                <w:rFonts w:ascii="Arial" w:hAnsi="Arial" w:eastAsia="Arial"/>
                <w:sz w:val="16"/>
              </w:rPr>
              <w:t>PASS</w:t>
            </w:r>
          </w:p>
        </w:tc>
      </w:tr>
      <w:tr>
        <w:trPr>
          <w:cantSplit/>
        </w:trPr>
        <w:tc>
          <w:tcPr>
            <w:tcW w:type="dxa" w:w="2494"/>
            <w:vAlign w:val="top"/>
            <w:tcMar>
              <w:top w:w="70" w:type="dxa"/>
              <w:start w:w="80" w:type="dxa"/>
              <w:bottom w:w="70" w:type="dxa"/>
              <w:end w:w="80" w:type="dxa"/>
            </w:tcMar>
          </w:tcPr>
          <w:p>
            <w:r>
              <w:rPr>
                <w:rFonts w:ascii="Arial" w:hAnsi="Arial" w:eastAsia="Arial"/>
                <w:sz w:val="16"/>
              </w:rPr>
              <w:t>K_cash</w:t>
            </w:r>
          </w:p>
        </w:tc>
        <w:tc>
          <w:tcPr>
            <w:tcW w:type="dxa" w:w="2154"/>
            <w:vAlign w:val="top"/>
            <w:tcMar>
              <w:top w:w="70" w:type="dxa"/>
              <w:start w:w="80" w:type="dxa"/>
              <w:bottom w:w="70" w:type="dxa"/>
              <w:end w:w="80" w:type="dxa"/>
            </w:tcMar>
          </w:tcPr>
          <w:p>
            <w:r>
              <w:rPr>
                <w:rFonts w:ascii="Arial" w:hAnsi="Arial" w:eastAsia="Arial"/>
                <w:sz w:val="16"/>
              </w:rPr>
              <w:t>≥ 0,6</w:t>
            </w:r>
          </w:p>
        </w:tc>
        <w:tc>
          <w:tcPr>
            <w:tcW w:type="dxa" w:w="1701"/>
            <w:vAlign w:val="top"/>
            <w:tcMar>
              <w:top w:w="70" w:type="dxa"/>
              <w:start w:w="80" w:type="dxa"/>
              <w:bottom w:w="70" w:type="dxa"/>
              <w:end w:w="80" w:type="dxa"/>
            </w:tcMar>
          </w:tcPr>
          <w:p>
            <w:r>
              <w:rPr>
                <w:rFonts w:ascii="Arial" w:hAnsi="Arial" w:eastAsia="Arial"/>
                <w:sz w:val="16"/>
              </w:rPr>
              <w:t>1,1837</w:t>
            </w:r>
          </w:p>
        </w:tc>
        <w:tc>
          <w:tcPr>
            <w:tcW w:type="dxa" w:w="1474"/>
            <w:vAlign w:val="top"/>
            <w:tcMar>
              <w:top w:w="70" w:type="dxa"/>
              <w:start w:w="80" w:type="dxa"/>
              <w:bottom w:w="70" w:type="dxa"/>
              <w:end w:w="80" w:type="dxa"/>
            </w:tcMar>
          </w:tcPr>
          <w:p>
            <w:r>
              <w:rPr>
                <w:rFonts w:ascii="Arial" w:hAnsi="Arial" w:eastAsia="Arial"/>
                <w:sz w:val="16"/>
              </w:rPr>
              <w:t>0,5837</w:t>
            </w:r>
          </w:p>
        </w:tc>
        <w:tc>
          <w:tcPr>
            <w:tcW w:type="dxa" w:w="1361"/>
            <w:vAlign w:val="top"/>
            <w:tcMar>
              <w:top w:w="70" w:type="dxa"/>
              <w:start w:w="80" w:type="dxa"/>
              <w:bottom w:w="70" w:type="dxa"/>
              <w:end w:w="80" w:type="dxa"/>
            </w:tcMar>
          </w:tcPr>
          <w:p>
            <w:r>
              <w:rPr>
                <w:rFonts w:ascii="Arial" w:hAnsi="Arial" w:eastAsia="Arial"/>
                <w:sz w:val="16"/>
              </w:rPr>
              <w:t>PASS</w:t>
            </w:r>
          </w:p>
        </w:tc>
      </w:tr>
      <w:tr>
        <w:trPr>
          <w:cantSplit/>
        </w:trPr>
        <w:tc>
          <w:tcPr>
            <w:tcW w:type="dxa" w:w="2494"/>
            <w:vAlign w:val="top"/>
            <w:tcMar>
              <w:top w:w="70" w:type="dxa"/>
              <w:start w:w="80" w:type="dxa"/>
              <w:bottom w:w="70" w:type="dxa"/>
              <w:end w:w="80" w:type="dxa"/>
            </w:tcMar>
          </w:tcPr>
          <w:p>
            <w:r>
              <w:rPr>
                <w:rFonts w:ascii="Arial" w:hAnsi="Arial" w:eastAsia="Arial"/>
                <w:sz w:val="16"/>
              </w:rPr>
              <w:t>t_rep</w:t>
            </w:r>
          </w:p>
        </w:tc>
        <w:tc>
          <w:tcPr>
            <w:tcW w:type="dxa" w:w="2154"/>
            <w:vAlign w:val="top"/>
            <w:tcMar>
              <w:top w:w="70" w:type="dxa"/>
              <w:start w:w="80" w:type="dxa"/>
              <w:bottom w:w="70" w:type="dxa"/>
              <w:end w:w="80" w:type="dxa"/>
            </w:tcMar>
          </w:tcPr>
          <w:p>
            <w:r>
              <w:rPr>
                <w:rFonts w:ascii="Arial" w:hAnsi="Arial" w:eastAsia="Arial"/>
                <w:sz w:val="16"/>
              </w:rPr>
              <w:t>≥ 0,63</w:t>
            </w:r>
          </w:p>
        </w:tc>
        <w:tc>
          <w:tcPr>
            <w:tcW w:type="dxa" w:w="1701"/>
            <w:vAlign w:val="top"/>
            <w:tcMar>
              <w:top w:w="70" w:type="dxa"/>
              <w:start w:w="80" w:type="dxa"/>
              <w:bottom w:w="70" w:type="dxa"/>
              <w:end w:w="80" w:type="dxa"/>
            </w:tcMar>
          </w:tcPr>
          <w:p>
            <w:r>
              <w:rPr>
                <w:rFonts w:ascii="Arial" w:hAnsi="Arial" w:eastAsia="Arial"/>
                <w:sz w:val="16"/>
              </w:rPr>
              <w:t>0,73</w:t>
            </w:r>
          </w:p>
        </w:tc>
        <w:tc>
          <w:tcPr>
            <w:tcW w:type="dxa" w:w="1474"/>
            <w:vAlign w:val="top"/>
            <w:tcMar>
              <w:top w:w="70" w:type="dxa"/>
              <w:start w:w="80" w:type="dxa"/>
              <w:bottom w:w="70" w:type="dxa"/>
              <w:end w:w="80" w:type="dxa"/>
            </w:tcMar>
          </w:tcPr>
          <w:p>
            <w:r>
              <w:rPr>
                <w:rFonts w:ascii="Arial" w:hAnsi="Arial" w:eastAsia="Arial"/>
                <w:sz w:val="16"/>
              </w:rPr>
              <w:t>0,10</w:t>
            </w:r>
          </w:p>
        </w:tc>
        <w:tc>
          <w:tcPr>
            <w:tcW w:type="dxa" w:w="1361"/>
            <w:vAlign w:val="top"/>
            <w:tcMar>
              <w:top w:w="70" w:type="dxa"/>
              <w:start w:w="80" w:type="dxa"/>
              <w:bottom w:w="70" w:type="dxa"/>
              <w:end w:w="80" w:type="dxa"/>
            </w:tcMar>
          </w:tcPr>
          <w:p>
            <w:r>
              <w:rPr>
                <w:rFonts w:ascii="Arial" w:hAnsi="Arial" w:eastAsia="Arial"/>
                <w:sz w:val="16"/>
              </w:rPr>
              <w:t>PASS</w:t>
            </w:r>
          </w:p>
        </w:tc>
      </w:tr>
      <w:tr>
        <w:trPr>
          <w:cantSplit/>
        </w:trPr>
        <w:tc>
          <w:tcPr>
            <w:tcW w:type="dxa" w:w="2494"/>
            <w:vAlign w:val="top"/>
            <w:tcMar>
              <w:top w:w="70" w:type="dxa"/>
              <w:start w:w="80" w:type="dxa"/>
              <w:bottom w:w="70" w:type="dxa"/>
              <w:end w:w="80" w:type="dxa"/>
            </w:tcMar>
          </w:tcPr>
          <w:p>
            <w:r>
              <w:rPr>
                <w:rFonts w:ascii="Arial" w:hAnsi="Arial" w:eastAsia="Arial"/>
                <w:sz w:val="16"/>
              </w:rPr>
              <w:t>Территории / capabilities / public core</w:t>
            </w:r>
          </w:p>
        </w:tc>
        <w:tc>
          <w:tcPr>
            <w:tcW w:type="dxa" w:w="2154"/>
            <w:vAlign w:val="top"/>
            <w:tcMar>
              <w:top w:w="70" w:type="dxa"/>
              <w:start w:w="80" w:type="dxa"/>
              <w:bottom w:w="70" w:type="dxa"/>
              <w:end w:w="80" w:type="dxa"/>
            </w:tcMar>
          </w:tcPr>
          <w:p>
            <w:r>
              <w:rPr>
                <w:rFonts w:ascii="Arial" w:hAnsi="Arial" w:eastAsia="Arial"/>
                <w:sz w:val="16"/>
              </w:rPr>
              <w:t>≥ 3 / ≥ 2 / ≥ 2</w:t>
            </w:r>
          </w:p>
        </w:tc>
        <w:tc>
          <w:tcPr>
            <w:tcW w:type="dxa" w:w="1701"/>
            <w:vAlign w:val="top"/>
            <w:tcMar>
              <w:top w:w="70" w:type="dxa"/>
              <w:start w:w="80" w:type="dxa"/>
              <w:bottom w:w="70" w:type="dxa"/>
              <w:end w:w="80" w:type="dxa"/>
            </w:tcMar>
          </w:tcPr>
          <w:p>
            <w:r>
              <w:rPr>
                <w:rFonts w:ascii="Arial" w:hAnsi="Arial" w:eastAsia="Arial"/>
                <w:sz w:val="16"/>
              </w:rPr>
              <w:t>4 / 2 / 2</w:t>
            </w:r>
          </w:p>
        </w:tc>
        <w:tc>
          <w:tcPr>
            <w:tcW w:type="dxa" w:w="1474"/>
            <w:vAlign w:val="top"/>
            <w:tcMar>
              <w:top w:w="70" w:type="dxa"/>
              <w:start w:w="80" w:type="dxa"/>
              <w:bottom w:w="70" w:type="dxa"/>
              <w:end w:w="80" w:type="dxa"/>
            </w:tcMar>
          </w:tcPr>
          <w:p>
            <w:r>
              <w:rPr>
                <w:rFonts w:ascii="Arial" w:hAnsi="Arial" w:eastAsia="Arial"/>
                <w:sz w:val="16"/>
              </w:rPr>
              <w:t>1 / 0 / 0</w:t>
            </w:r>
          </w:p>
        </w:tc>
        <w:tc>
          <w:tcPr>
            <w:tcW w:type="dxa" w:w="1361"/>
            <w:vAlign w:val="top"/>
            <w:tcMar>
              <w:top w:w="70" w:type="dxa"/>
              <w:start w:w="80" w:type="dxa"/>
              <w:bottom w:w="70" w:type="dxa"/>
              <w:end w:w="80" w:type="dxa"/>
            </w:tcMar>
          </w:tcPr>
          <w:p>
            <w:r>
              <w:rPr>
                <w:rFonts w:ascii="Arial" w:hAnsi="Arial" w:eastAsia="Arial"/>
                <w:sz w:val="16"/>
              </w:rPr>
              <w:t>PASS</w:t>
            </w:r>
          </w:p>
        </w:tc>
      </w:tr>
    </w:tbl>
    <w:p>
      <w:pPr>
        <w:spacing w:after="0"/>
      </w:pPr>
    </w:p>
    <w:p>
      <w:r>
        <w:rPr>
          <w:rFonts w:ascii="Arial" w:hAnsi="Arial" w:eastAsia="Arial"/>
          <w:sz w:val="21"/>
        </w:rPr>
        <w:t>Сохранение портфеля — управленческое решение, а не отсутствие реакции. Оно позволяет не повторять согласование пользователей, договоров и архитектуры. Стресс-запас резервируется под уточнение интеграционных затрат, приёмки и условий поставщиков. Если уточнённая смета выйдет за лимит, состав или режим пересматривается через расчётный инструмент; исходные стоимости вручную не уменьшаются.</w:t>
      </w:r>
    </w:p>
    <w:p>
      <w:pPr/>
      <w:r>
        <w:t>Официальный STRESS не проверяет спрос и календарную ликвидность. Дополнительный командный сценарий S2 «commercial cash = 0» оставляет anchor cash 190 млн руб./год: K_cash = 0,607, то есть порог 0,6 выполняется, но появляется годовой OPEX-gap 123 млн руб. S2 является диагностикой чувствительности, не является официальным STRESS и по умолчанию не фильтрует score или ranking. В интерфейсе отдельный переключатель «S2 как фильтр» позволяет демонстрационно посмотреть, как изменился бы отбор, если бы этот сценарий стал правилом; это не условие организаторов и не часть официального STRESS.</w:t>
      </w:r>
    </w:p>
    <w:p>
      <w:pPr>
        <w:pStyle w:val="Heading1"/>
      </w:pPr>
      <w:r>
        <w:t>10. Межрегиональное тиражирование</w:t>
      </w:r>
    </w:p>
    <w:p>
      <w:r>
        <w:rPr>
          <w:rFonts w:ascii="Arial" w:hAnsi="Arial" w:eastAsia="Arial"/>
          <w:sz w:val="21"/>
        </w:rPr>
        <w:t>Команда разделяет повторно используемое ядро и региональную настройку. Повторно используются каталог сервисов и ролей, конвейер получения и проверки данных, модель событий, API и форматы выгрузки, механизмы доступа и журналирования, типовые SLA, договорные условия, процедура смены поставщика, методика KPI и база знаний оператора.</w:t>
      </w:r>
    </w:p>
    <w:tbl>
      <w:tblPr>
        <w:tblStyle w:val="TableGrid"/>
        <w:tblW w:type="auto" w:w="0"/>
        <w:jc w:val="center"/>
        <w:tblLook w:firstColumn="1" w:firstRow="1" w:lastColumn="0" w:lastRow="0" w:noHBand="0" w:noVBand="1" w:val="04A0"/>
      </w:tblPr>
      <w:tblGrid>
        <w:gridCol w:w="5043"/>
        <w:gridCol w:w="5043"/>
      </w:tblGrid>
      <w:tr>
        <w:trPr>
          <w:tblHeader w:val="true"/>
          <w:cantSplit/>
        </w:trPr>
        <w:tc>
          <w:tcPr>
            <w:tcW w:type="dxa" w:w="1417"/>
            <w:shd w:fill="D9D9D9"/>
            <w:vAlign w:val="center"/>
            <w:tcMar>
              <w:top w:w="70" w:type="dxa"/>
              <w:start w:w="80" w:type="dxa"/>
              <w:bottom w:w="70" w:type="dxa"/>
              <w:end w:w="80" w:type="dxa"/>
            </w:tcMar>
          </w:tcPr>
          <w:p>
            <w:pPr>
              <w:jc w:val="center"/>
            </w:pPr>
            <w:r>
              <w:rPr>
                <w:rFonts w:ascii="Arial" w:hAnsi="Arial" w:eastAsia="Arial"/>
                <w:b/>
                <w:sz w:val="16"/>
              </w:rPr>
              <w:t>Сервис</w:t>
            </w:r>
          </w:p>
        </w:tc>
        <w:tc>
          <w:tcPr>
            <w:tcW w:type="dxa" w:w="7483"/>
            <w:shd w:fill="D9D9D9"/>
            <w:vAlign w:val="center"/>
            <w:tcMar>
              <w:top w:w="70" w:type="dxa"/>
              <w:start w:w="80" w:type="dxa"/>
              <w:bottom w:w="70" w:type="dxa"/>
              <w:end w:w="80" w:type="dxa"/>
            </w:tcMar>
          </w:tcPr>
          <w:p>
            <w:pPr>
              <w:jc w:val="center"/>
            </w:pPr>
            <w:r>
              <w:rPr>
                <w:rFonts w:ascii="Arial" w:hAnsi="Arial" w:eastAsia="Arial"/>
                <w:b/>
                <w:sz w:val="16"/>
              </w:rPr>
              <w:t>Местная адаптация</w:t>
            </w:r>
          </w:p>
        </w:tc>
      </w:tr>
      <w:tr>
        <w:trPr>
          <w:cantSplit/>
        </w:trPr>
        <w:tc>
          <w:tcPr>
            <w:tcW w:type="dxa" w:w="1417"/>
            <w:vAlign w:val="top"/>
            <w:tcMar>
              <w:top w:w="70" w:type="dxa"/>
              <w:start w:w="80" w:type="dxa"/>
              <w:bottom w:w="70" w:type="dxa"/>
              <w:end w:w="80" w:type="dxa"/>
            </w:tcMar>
          </w:tcPr>
          <w:p>
            <w:r>
              <w:rPr>
                <w:rFonts w:ascii="Arial" w:hAnsi="Arial" w:eastAsia="Arial"/>
                <w:sz w:val="16"/>
              </w:rPr>
              <w:t>FIRE</w:t>
            </w:r>
          </w:p>
        </w:tc>
        <w:tc>
          <w:tcPr>
            <w:tcW w:type="dxa" w:w="7483"/>
            <w:vAlign w:val="top"/>
            <w:tcMar>
              <w:top w:w="70" w:type="dxa"/>
              <w:start w:w="80" w:type="dxa"/>
              <w:bottom w:w="70" w:type="dxa"/>
              <w:end w:w="80" w:type="dxa"/>
            </w:tcMar>
          </w:tcPr>
          <w:p>
            <w:r>
              <w:rPr>
                <w:rFonts w:ascii="Arial" w:hAnsi="Arial" w:eastAsia="Arial"/>
                <w:sz w:val="16"/>
              </w:rPr>
              <w:t>Границы территорий, сезонные приоритеты, каналы диспетчеризации, перечень принимающих служб.</w:t>
            </w:r>
          </w:p>
        </w:tc>
      </w:tr>
      <w:tr>
        <w:trPr>
          <w:cantSplit/>
        </w:trPr>
        <w:tc>
          <w:tcPr>
            <w:tcW w:type="dxa" w:w="1417"/>
            <w:vAlign w:val="top"/>
            <w:tcMar>
              <w:top w:w="70" w:type="dxa"/>
              <w:start w:w="80" w:type="dxa"/>
              <w:bottom w:w="70" w:type="dxa"/>
              <w:end w:w="80" w:type="dxa"/>
            </w:tcMar>
          </w:tcPr>
          <w:p>
            <w:r>
              <w:rPr>
                <w:rFonts w:ascii="Arial" w:hAnsi="Arial" w:eastAsia="Arial"/>
                <w:sz w:val="16"/>
              </w:rPr>
              <w:t>ENV</w:t>
            </w:r>
          </w:p>
        </w:tc>
        <w:tc>
          <w:tcPr>
            <w:tcW w:type="dxa" w:w="7483"/>
            <w:vAlign w:val="top"/>
            <w:tcMar>
              <w:top w:w="70" w:type="dxa"/>
              <w:start w:w="80" w:type="dxa"/>
              <w:bottom w:w="70" w:type="dxa"/>
              <w:end w:w="80" w:type="dxa"/>
            </w:tcMar>
          </w:tcPr>
          <w:p>
            <w:r>
              <w:rPr>
                <w:rFonts w:ascii="Arial" w:hAnsi="Arial" w:eastAsia="Arial"/>
                <w:sz w:val="16"/>
              </w:rPr>
              <w:t>Контролируемые зоны, типы событий, правила назначения инспекции, состав публикуемых агрегатов.</w:t>
            </w:r>
          </w:p>
        </w:tc>
      </w:tr>
      <w:tr>
        <w:trPr>
          <w:cantSplit/>
        </w:trPr>
        <w:tc>
          <w:tcPr>
            <w:tcW w:type="dxa" w:w="1417"/>
            <w:vAlign w:val="top"/>
            <w:tcMar>
              <w:top w:w="70" w:type="dxa"/>
              <w:start w:w="80" w:type="dxa"/>
              <w:bottom w:w="70" w:type="dxa"/>
              <w:end w:w="80" w:type="dxa"/>
            </w:tcMar>
          </w:tcPr>
          <w:p>
            <w:r>
              <w:rPr>
                <w:rFonts w:ascii="Arial" w:hAnsi="Arial" w:eastAsia="Arial"/>
                <w:sz w:val="16"/>
              </w:rPr>
              <w:t>AGRI</w:t>
            </w:r>
          </w:p>
        </w:tc>
        <w:tc>
          <w:tcPr>
            <w:tcW w:type="dxa" w:w="7483"/>
            <w:vAlign w:val="top"/>
            <w:tcMar>
              <w:top w:w="70" w:type="dxa"/>
              <w:start w:w="80" w:type="dxa"/>
              <w:bottom w:w="70" w:type="dxa"/>
              <w:end w:w="80" w:type="dxa"/>
            </w:tcMar>
          </w:tcPr>
          <w:p>
            <w:r>
              <w:rPr>
                <w:rFonts w:ascii="Arial" w:hAnsi="Arial" w:eastAsia="Arial"/>
                <w:sz w:val="16"/>
              </w:rPr>
              <w:t>Границы полей, культуры и сезоны, права хозяйств, наземные данные и формат рекомендаций.</w:t>
            </w:r>
          </w:p>
        </w:tc>
      </w:tr>
      <w:tr>
        <w:trPr>
          <w:cantSplit/>
        </w:trPr>
        <w:tc>
          <w:tcPr>
            <w:tcW w:type="dxa" w:w="1417"/>
            <w:vAlign w:val="top"/>
            <w:tcMar>
              <w:top w:w="70" w:type="dxa"/>
              <w:start w:w="80" w:type="dxa"/>
              <w:bottom w:w="70" w:type="dxa"/>
              <w:end w:w="80" w:type="dxa"/>
            </w:tcMar>
          </w:tcPr>
          <w:p>
            <w:r>
              <w:rPr>
                <w:rFonts w:ascii="Arial" w:hAnsi="Arial" w:eastAsia="Arial"/>
                <w:sz w:val="16"/>
              </w:rPr>
              <w:t>TRANS</w:t>
            </w:r>
          </w:p>
        </w:tc>
        <w:tc>
          <w:tcPr>
            <w:tcW w:type="dxa" w:w="7483"/>
            <w:vAlign w:val="top"/>
            <w:tcMar>
              <w:top w:w="70" w:type="dxa"/>
              <w:start w:w="80" w:type="dxa"/>
              <w:bottom w:w="70" w:type="dxa"/>
              <w:end w:w="80" w:type="dxa"/>
            </w:tcMar>
          </w:tcPr>
          <w:p>
            <w:r>
              <w:rPr>
                <w:rFonts w:ascii="Arial" w:hAnsi="Arial" w:eastAsia="Arial"/>
                <w:sz w:val="16"/>
              </w:rPr>
              <w:t>Перечень объектов и маршрутов, интеграции операторов, уровни доступа и регламент реакции.</w:t>
            </w:r>
          </w:p>
        </w:tc>
      </w:tr>
    </w:tbl>
    <w:p>
      <w:pPr>
        <w:spacing w:after="0"/>
      </w:pPr>
    </w:p>
    <w:p>
      <w:pPr/>
      <w:r>
        <w:rPr>
          <w:rFonts w:ascii="Arial" w:hAnsi="Arial" w:eastAsia="Arial"/>
          <w:sz w:val="21"/>
        </w:rPr>
        <w:t>Зафиксированная последовательность масштабирования: 2027, I полугодие — подтверждение заказчиков, финансирования и условий; 2027, II полугодие – 2028, I полугодие — пилоты FIRE и ENV для проверки общего операторского контура и приёмки; 2028, II полугодие — разбор пилотов, корректировка KPI, SLA и обновление типового ядра; 2029–2030 — подключение AGRI и TRANS и запуск ГЧП; 2031–2033 — тиражирование в новые регионы. Эти сроки являются проектным допущением команды и не следуют из исходных условий кейса.</w:t>
      </w:r>
    </w:p>
    <w:p>
      <w:pPr>
        <w:pStyle w:val="Heading1"/>
      </w:pPr>
      <w:r>
        <w:t>11. План реализации и контроль результата</w:t>
      </w:r>
    </w:p>
    <w:tbl>
      <w:tblPr>
        <w:tblStyle w:val="TableGrid"/>
        <w:tblW w:type="auto" w:w="0"/>
        <w:jc w:val="center"/>
        <w:tblLook w:firstColumn="1" w:firstRow="1" w:lastColumn="0" w:lastRow="0" w:noHBand="0" w:noVBand="1" w:val="04A0"/>
      </w:tblPr>
      <w:tblGrid>
        <w:gridCol w:w="1250"/>
        <w:gridCol w:w="1700"/>
        <w:gridCol w:w="1500"/>
        <w:gridCol w:w="1600"/>
        <w:gridCol w:w="1300"/>
        <w:gridCol w:w="1300"/>
        <w:gridCol w:w="1435"/>
      </w:tblGrid>
      <w:tr>
        <w:trPr>
          <w:tblHeader w:val="true"/>
          <w:cantSplit/>
        </w:trPr>
        <w:tc>
          <w:tcPr>
            <w:tcW w:type="dxa" w:w="1250"/>
            <w:shd w:fill="D9D9D9"/>
            <w:vAlign w:val="center"/>
            <w:tcMar>
              <w:top w:w="70" w:type="dxa"/>
              <w:start w:w="80" w:type="dxa"/>
              <w:bottom w:w="70" w:type="dxa"/>
              <w:end w:w="80" w:type="dxa"/>
            </w:tcMar>
          </w:tcPr>
          <w:p>
            <w:pPr>
              <w:jc w:val="center"/>
            </w:pPr>
            <w:r>
              <w:rPr>
                <w:rFonts w:ascii="Arial" w:hAnsi="Arial" w:eastAsia="Arial"/>
                <w:b/>
                <w:sz w:val="15"/>
              </w:rPr>
              <w:t>Этап</w:t>
            </w:r>
          </w:p>
        </w:tc>
        <w:tc>
          <w:tcPr>
            <w:tcW w:type="dxa" w:w="1700"/>
            <w:shd w:fill="D9D9D9"/>
            <w:vAlign w:val="center"/>
            <w:tcMar>
              <w:top w:w="70" w:type="dxa"/>
              <w:start w:w="80" w:type="dxa"/>
              <w:bottom w:w="70" w:type="dxa"/>
              <w:end w:w="80" w:type="dxa"/>
            </w:tcMar>
          </w:tcPr>
          <w:p>
            <w:pPr>
              <w:jc w:val="center"/>
            </w:pPr>
            <w:r>
              <w:rPr>
                <w:rFonts w:ascii="Arial" w:hAnsi="Arial" w:eastAsia="Arial"/>
                <w:b/>
                <w:sz w:val="15"/>
              </w:rPr>
              <w:t>Содержание</w:t>
            </w:r>
          </w:p>
        </w:tc>
        <w:tc>
          <w:tcPr>
            <w:tcW w:type="dxa" w:w="1500"/>
            <w:shd w:fill="D9D9D9"/>
            <w:vAlign w:val="center"/>
            <w:tcMar>
              <w:top w:w="70" w:type="dxa"/>
              <w:start w:w="80" w:type="dxa"/>
              <w:bottom w:w="70" w:type="dxa"/>
              <w:end w:w="80" w:type="dxa"/>
            </w:tcMar>
          </w:tcPr>
          <w:p>
            <w:pPr>
              <w:jc w:val="center"/>
            </w:pPr>
            <w:r>
              <w:rPr>
                <w:rFonts w:ascii="Arial" w:hAnsi="Arial" w:eastAsia="Arial"/>
                <w:b/>
                <w:sz w:val="15"/>
              </w:rPr>
              <w:t>Результат</w:t>
            </w:r>
          </w:p>
        </w:tc>
        <w:tc>
          <w:tcPr>
            <w:tcW w:type="dxa" w:w="1600"/>
            <w:shd w:fill="D9D9D9"/>
            <w:vAlign w:val="center"/>
            <w:tcMar>
              <w:top w:w="70" w:type="dxa"/>
              <w:start w:w="80" w:type="dxa"/>
              <w:bottom w:w="70" w:type="dxa"/>
              <w:end w:w="80" w:type="dxa"/>
            </w:tcMar>
          </w:tcPr>
          <w:p>
            <w:pPr>
              <w:jc w:val="center"/>
            </w:pPr>
            <w:r>
              <w:rPr>
                <w:rFonts w:ascii="Arial" w:hAnsi="Arial" w:eastAsia="Arial"/>
                <w:b/>
                <w:sz w:val="15"/>
              </w:rPr>
              <w:t>Ресурсы</w:t>
            </w:r>
          </w:p>
        </w:tc>
        <w:tc>
          <w:tcPr>
            <w:tcW w:type="dxa" w:w="1300"/>
            <w:shd w:fill="D9D9D9"/>
            <w:vAlign w:val="center"/>
            <w:tcMar>
              <w:top w:w="70" w:type="dxa"/>
              <w:start w:w="80" w:type="dxa"/>
              <w:bottom w:w="70" w:type="dxa"/>
              <w:end w:w="80" w:type="dxa"/>
            </w:tcMar>
          </w:tcPr>
          <w:p>
            <w:pPr>
              <w:jc w:val="center"/>
            </w:pPr>
            <w:r>
              <w:rPr>
                <w:rFonts w:ascii="Arial" w:hAnsi="Arial" w:eastAsia="Arial"/>
                <w:b/>
                <w:sz w:val="15"/>
              </w:rPr>
              <w:t>Ответственный контур</w:t>
            </w:r>
          </w:p>
        </w:tc>
        <w:tc>
          <w:tcPr>
            <w:tcW w:type="dxa" w:w="1300"/>
            <w:shd w:fill="D9D9D9"/>
            <w:vAlign w:val="center"/>
            <w:tcMar>
              <w:top w:w="70" w:type="dxa"/>
              <w:start w:w="80" w:type="dxa"/>
              <w:bottom w:w="70" w:type="dxa"/>
              <w:end w:w="80" w:type="dxa"/>
            </w:tcMar>
          </w:tcPr>
          <w:p>
            <w:pPr>
              <w:jc w:val="center"/>
            </w:pPr>
            <w:r>
              <w:rPr>
                <w:rFonts w:ascii="Arial" w:hAnsi="Arial" w:eastAsia="Arial"/>
                <w:b/>
                <w:sz w:val="15"/>
              </w:rPr>
              <w:t>Зависимость</w:t>
            </w:r>
          </w:p>
        </w:tc>
        <w:tc>
          <w:tcPr>
            <w:tcW w:type="dxa" w:w="1435"/>
            <w:shd w:fill="D9D9D9"/>
            <w:vAlign w:val="center"/>
            <w:tcMar>
              <w:top w:w="70" w:type="dxa"/>
              <w:start w:w="80" w:type="dxa"/>
              <w:bottom w:w="70" w:type="dxa"/>
              <w:end w:w="80" w:type="dxa"/>
            </w:tcMar>
          </w:tcPr>
          <w:p>
            <w:pPr>
              <w:jc w:val="center"/>
            </w:pPr>
            <w:r>
              <w:rPr>
                <w:rFonts w:ascii="Arial" w:hAnsi="Arial" w:eastAsia="Arial"/>
                <w:b/>
                <w:sz w:val="15"/>
              </w:rPr>
              <w:t>Критерий завершения</w:t>
            </w:r>
          </w:p>
        </w:tc>
      </w:tr>
      <w:tr>
        <w:trPr>
          <w:cantSplit/>
        </w:trPr>
        <w:tc>
          <w:tcPr>
            <w:tcW w:type="dxa" w:w="1250"/>
            <w:vAlign w:val="top"/>
            <w:tcMar>
              <w:top w:w="70" w:type="dxa"/>
              <w:start w:w="80" w:type="dxa"/>
              <w:bottom w:w="70" w:type="dxa"/>
              <w:end w:w="80" w:type="dxa"/>
            </w:tcMar>
          </w:tcPr>
          <w:p>
            <w:r>
              <w:t>1. Подготовка</w:t>
              <w:br/>
              <w:t>2027, I полугодие</w:t>
            </w:r>
          </w:p>
        </w:tc>
        <w:tc>
          <w:tcPr>
            <w:tcW w:type="dxa" w:w="1700"/>
            <w:vAlign w:val="top"/>
            <w:tcMar>
              <w:top w:w="70" w:type="dxa"/>
              <w:start w:w="80" w:type="dxa"/>
              <w:bottom w:w="70" w:type="dxa"/>
              <w:end w:w="80" w:type="dxa"/>
            </w:tcMar>
          </w:tcPr>
          <w:p>
            <w:r>
              <w:t>Подтверждение заказчиков, источников c0, якорных платежей, состава базового/платного слоя, источников данных и договорных условий.</w:t>
            </w:r>
          </w:p>
        </w:tc>
        <w:tc>
          <w:tcPr>
            <w:tcW w:type="dxa" w:w="1500"/>
            <w:vAlign w:val="top"/>
            <w:tcMar>
              <w:top w:w="70" w:type="dxa"/>
              <w:start w:w="80" w:type="dxa"/>
              <w:bottom w:w="70" w:type="dxa"/>
              <w:end w:w="80" w:type="dxa"/>
            </w:tcMar>
          </w:tcPr>
          <w:p>
            <w:r>
              <w:t>Подтверждённые проектные требования, схема финансирования и договорная модель.</w:t>
            </w:r>
          </w:p>
        </w:tc>
        <w:tc>
          <w:tcPr>
            <w:tcW w:type="dxa" w:w="1600"/>
            <w:vAlign w:val="top"/>
            <w:tcMar>
              <w:top w:w="70" w:type="dxa"/>
              <w:start w:w="80" w:type="dxa"/>
              <w:bottom w:w="70" w:type="dxa"/>
              <w:end w:w="80" w:type="dxa"/>
            </w:tcMar>
          </w:tcPr>
          <w:p>
            <w:r>
              <w:t>Рабочая группа заказчика, экономист и юрист; расчётный инструмент и results/. Капитальных затрат этап не требует.</w:t>
            </w:r>
          </w:p>
        </w:tc>
        <w:tc>
          <w:tcPr>
            <w:tcW w:type="dxa" w:w="1300"/>
            <w:vAlign w:val="top"/>
            <w:tcMar>
              <w:top w:w="70" w:type="dxa"/>
              <w:start w:w="80" w:type="dxa"/>
              <w:bottom w:w="70" w:type="dxa"/>
              <w:end w:w="80" w:type="dxa"/>
            </w:tcMar>
          </w:tcPr>
          <w:p>
            <w:r>
              <w:t>Заказчик, экономист, оператор</w:t>
            </w:r>
          </w:p>
        </w:tc>
        <w:tc>
          <w:tcPr>
            <w:tcW w:type="dxa" w:w="1300"/>
            <w:vAlign w:val="top"/>
            <w:tcMar>
              <w:top w:w="70" w:type="dxa"/>
              <w:start w:w="80" w:type="dxa"/>
              <w:bottom w:w="70" w:type="dxa"/>
              <w:end w:w="80" w:type="dxa"/>
            </w:tcMar>
          </w:tcPr>
          <w:p>
            <w:r>
              <w:t>Подтверждение плательщиков и полномочий; готовность к закупке/пилоту.</w:t>
            </w:r>
          </w:p>
        </w:tc>
        <w:tc>
          <w:tcPr>
            <w:tcW w:type="dxa" w:w="1435"/>
            <w:vAlign w:val="top"/>
            <w:tcMar>
              <w:top w:w="70" w:type="dxa"/>
              <w:start w:w="80" w:type="dxa"/>
              <w:bottom w:w="70" w:type="dxa"/>
              <w:end w:w="80" w:type="dxa"/>
            </w:tcMar>
          </w:tcPr>
          <w:p>
            <w:r>
              <w:t>По четырём лотам определены заказчик, пользователь, предмет оплаты, доступ, SLA и приёмка; гипотезы отделены от подтверждённых документов.</w:t>
            </w:r>
          </w:p>
        </w:tc>
      </w:tr>
      <w:tr>
        <w:trPr>
          <w:cantSplit/>
        </w:trPr>
        <w:tc>
          <w:tcPr>
            <w:tcW w:type="dxa" w:w="1250"/>
            <w:vAlign w:val="top"/>
            <w:tcMar>
              <w:top w:w="70" w:type="dxa"/>
              <w:start w:w="80" w:type="dxa"/>
              <w:bottom w:w="70" w:type="dxa"/>
              <w:end w:w="80" w:type="dxa"/>
            </w:tcMar>
          </w:tcPr>
          <w:p>
            <w:r>
              <w:t>2. Пилоты FIRE/ENV</w:t>
              <w:br/>
              <w:t>2027, II полугодие – 2028, I полугодие</w:t>
            </w:r>
          </w:p>
        </w:tc>
        <w:tc>
          <w:tcPr>
            <w:tcW w:type="dxa" w:w="1700"/>
            <w:vAlign w:val="top"/>
            <w:tcMar>
              <w:top w:w="70" w:type="dxa"/>
              <w:start w:w="80" w:type="dxa"/>
              <w:bottom w:w="70" w:type="dxa"/>
              <w:end w:w="80" w:type="dxa"/>
            </w:tcMar>
          </w:tcPr>
          <w:p>
            <w:r>
              <w:t>Запуск FIRE и ENV в ограниченном контуре; проверка свежести, покрытия, журналов, доступа и рабочего процесса пользователей.</w:t>
            </w:r>
          </w:p>
        </w:tc>
        <w:tc>
          <w:tcPr>
            <w:tcW w:type="dxa" w:w="1500"/>
            <w:vAlign w:val="top"/>
            <w:tcMar>
              <w:top w:w="70" w:type="dxa"/>
              <w:start w:w="80" w:type="dxa"/>
              <w:bottom w:w="70" w:type="dxa"/>
              <w:end w:w="80" w:type="dxa"/>
            </w:tcMar>
          </w:tcPr>
          <w:p>
            <w:r>
              <w:t>Проверенный публичный операторский контур и перечень корректировок.</w:t>
            </w:r>
          </w:p>
        </w:tc>
        <w:tc>
          <w:tcPr>
            <w:tcW w:type="dxa" w:w="1600"/>
            <w:vAlign w:val="top"/>
            <w:tcMar>
              <w:top w:w="70" w:type="dxa"/>
              <w:start w:w="80" w:type="dxa"/>
              <w:bottom w:w="70" w:type="dxa"/>
              <w:end w:w="80" w:type="dxa"/>
            </w:tcMar>
          </w:tcPr>
          <w:p>
            <w:r>
              <w:t>c0 бюджетного контура 630 млн руб. (FIRE 336 + ENV 294); OPEX публичного ядра 168 млн руб./год (89,25 + 78,75); команда оператора, каналы данных, наземная проверка.</w:t>
            </w:r>
          </w:p>
        </w:tc>
        <w:tc>
          <w:tcPr>
            <w:tcW w:type="dxa" w:w="1300"/>
            <w:vAlign w:val="top"/>
            <w:tcMar>
              <w:top w:w="70" w:type="dxa"/>
              <w:start w:w="80" w:type="dxa"/>
              <w:bottom w:w="70" w:type="dxa"/>
              <w:end w:w="80" w:type="dxa"/>
            </w:tcMar>
          </w:tcPr>
          <w:p>
            <w:r>
              <w:t>Оператор, поставщики, региональная принимающая сторона</w:t>
            </w:r>
          </w:p>
        </w:tc>
        <w:tc>
          <w:tcPr>
            <w:tcW w:type="dxa" w:w="1300"/>
            <w:vAlign w:val="top"/>
            <w:tcMar>
              <w:top w:w="70" w:type="dxa"/>
              <w:start w:w="80" w:type="dxa"/>
              <w:bottom w:w="70" w:type="dxa"/>
              <w:end w:w="80" w:type="dxa"/>
            </w:tcMar>
          </w:tcPr>
          <w:p>
            <w:r>
              <w:t>Доступ к данным, наземное подтверждение и согласованные SLA пилота.</w:t>
            </w:r>
          </w:p>
        </w:tc>
        <w:tc>
          <w:tcPr>
            <w:tcW w:type="dxa" w:w="1435"/>
            <w:vAlign w:val="top"/>
            <w:tcMar>
              <w:top w:w="70" w:type="dxa"/>
              <w:start w:w="80" w:type="dxa"/>
              <w:bottom w:w="70" w:type="dxa"/>
              <w:end w:w="80" w:type="dxa"/>
            </w:tcMar>
          </w:tcPr>
          <w:p>
            <w:r>
              <w:t>Оба пилота приняты по контрольной выборке и KPI либо утверждён перечень доработок.</w:t>
            </w:r>
          </w:p>
        </w:tc>
      </w:tr>
      <w:tr>
        <w:trPr>
          <w:cantSplit/>
        </w:trPr>
        <w:tc>
          <w:tcPr>
            <w:tcW w:type="dxa" w:w="1250"/>
            <w:vAlign w:val="top"/>
            <w:tcMar>
              <w:top w:w="70" w:type="dxa"/>
              <w:start w:w="80" w:type="dxa"/>
              <w:bottom w:w="70" w:type="dxa"/>
              <w:end w:w="80" w:type="dxa"/>
            </w:tcMar>
          </w:tcPr>
          <w:p>
            <w:r>
              <w:t>3. Обновление ядра</w:t>
              <w:br/>
              <w:t>2028, II полугодие</w:t>
            </w:r>
          </w:p>
        </w:tc>
        <w:tc>
          <w:tcPr>
            <w:tcW w:type="dxa" w:w="1700"/>
            <w:vAlign w:val="top"/>
            <w:tcMar>
              <w:top w:w="70" w:type="dxa"/>
              <w:start w:w="80" w:type="dxa"/>
              <w:bottom w:w="70" w:type="dxa"/>
              <w:end w:w="80" w:type="dxa"/>
            </w:tcMar>
          </w:tcPr>
          <w:p>
            <w:r>
              <w:t>Разбор пилотов, корректировка KPI, SLA, API, договорного шаблона и контрольного набора.</w:t>
            </w:r>
          </w:p>
        </w:tc>
        <w:tc>
          <w:tcPr>
            <w:tcW w:type="dxa" w:w="1500"/>
            <w:vAlign w:val="top"/>
            <w:tcMar>
              <w:top w:w="70" w:type="dxa"/>
              <w:start w:w="80" w:type="dxa"/>
              <w:bottom w:w="70" w:type="dxa"/>
              <w:end w:w="80" w:type="dxa"/>
            </w:tcMar>
          </w:tcPr>
          <w:p>
            <w:r>
              <w:t>Версия типового ядра для подключения прикладных сервисов.</w:t>
            </w:r>
          </w:p>
        </w:tc>
        <w:tc>
          <w:tcPr>
            <w:tcW w:type="dxa" w:w="1600"/>
            <w:vAlign w:val="top"/>
            <w:tcMar>
              <w:top w:w="70" w:type="dxa"/>
              <w:start w:w="80" w:type="dxa"/>
              <w:bottom w:w="70" w:type="dxa"/>
              <w:end w:w="80" w:type="dxa"/>
            </w:tcMar>
          </w:tcPr>
          <w:p>
            <w:r>
              <w:t>Ресурс оператора и заказчика на доработку в рамках действующего OPEX 168 млн руб./год; отдельных капитальных затрат не требует.</w:t>
            </w:r>
          </w:p>
        </w:tc>
        <w:tc>
          <w:tcPr>
            <w:tcW w:type="dxa" w:w="1300"/>
            <w:vAlign w:val="top"/>
            <w:tcMar>
              <w:top w:w="70" w:type="dxa"/>
              <w:start w:w="80" w:type="dxa"/>
              <w:bottom w:w="70" w:type="dxa"/>
              <w:end w:w="80" w:type="dxa"/>
            </w:tcMar>
          </w:tcPr>
          <w:p>
            <w:r>
              <w:t>Заказчик и оператор</w:t>
            </w:r>
          </w:p>
        </w:tc>
        <w:tc>
          <w:tcPr>
            <w:tcW w:type="dxa" w:w="1300"/>
            <w:vAlign w:val="top"/>
            <w:tcMar>
              <w:top w:w="70" w:type="dxa"/>
              <w:start w:w="80" w:type="dxa"/>
              <w:bottom w:w="70" w:type="dxa"/>
              <w:end w:w="80" w:type="dxa"/>
            </w:tcMar>
          </w:tcPr>
          <w:p>
            <w:r>
              <w:t>Результаты пилотов и зафиксированный перечень изменений.</w:t>
            </w:r>
          </w:p>
        </w:tc>
        <w:tc>
          <w:tcPr>
            <w:tcW w:type="dxa" w:w="1435"/>
            <w:vAlign w:val="top"/>
            <w:tcMar>
              <w:top w:w="70" w:type="dxa"/>
              <w:start w:w="80" w:type="dxa"/>
              <w:bottom w:w="70" w:type="dxa"/>
              <w:end w:w="80" w:type="dxa"/>
            </w:tcMar>
          </w:tcPr>
          <w:p>
            <w:r>
              <w:t>Изменения задокументированы, тесты проходят, типовая и локальная части разделены.</w:t>
            </w:r>
          </w:p>
        </w:tc>
      </w:tr>
      <w:tr>
        <w:trPr>
          <w:cantSplit/>
        </w:trPr>
        <w:tc>
          <w:tcPr>
            <w:tcW w:type="dxa" w:w="1250"/>
            <w:vAlign w:val="top"/>
            <w:tcMar>
              <w:top w:w="70" w:type="dxa"/>
              <w:start w:w="80" w:type="dxa"/>
              <w:bottom w:w="70" w:type="dxa"/>
              <w:end w:w="80" w:type="dxa"/>
            </w:tcMar>
          </w:tcPr>
          <w:p>
            <w:r>
              <w:t>4. AGRI/TRANS и ГЧП</w:t>
              <w:br/>
              <w:t>2029–2030</w:t>
            </w:r>
          </w:p>
        </w:tc>
        <w:tc>
          <w:tcPr>
            <w:tcW w:type="dxa" w:w="1700"/>
            <w:vAlign w:val="top"/>
            <w:tcMar>
              <w:top w:w="70" w:type="dxa"/>
              <w:start w:w="80" w:type="dxa"/>
              <w:bottom w:w="70" w:type="dxa"/>
              <w:end w:w="80" w:type="dxa"/>
            </w:tcMar>
          </w:tcPr>
          <w:p>
            <w:r>
              <w:t>Подключение AGRI и TRANS; проверка агрегированного и платного доступа, коммерческих договоров и разделения данных; запуск ГЧП.</w:t>
            </w:r>
          </w:p>
        </w:tc>
        <w:tc>
          <w:tcPr>
            <w:tcW w:type="dxa" w:w="1500"/>
            <w:vAlign w:val="top"/>
            <w:tcMar>
              <w:top w:w="70" w:type="dxa"/>
              <w:start w:w="80" w:type="dxa"/>
              <w:bottom w:w="70" w:type="dxa"/>
              <w:end w:w="80" w:type="dxa"/>
            </w:tcMar>
          </w:tcPr>
          <w:p>
            <w:r>
              <w:t>Рабочие прикладные слои и подтверждённая схема доступа/финансирования.</w:t>
            </w:r>
          </w:p>
        </w:tc>
        <w:tc>
          <w:tcPr>
            <w:tcW w:type="dxa" w:w="1600"/>
            <w:vAlign w:val="top"/>
            <w:tcMar>
              <w:top w:w="70" w:type="dxa"/>
              <w:start w:w="80" w:type="dxa"/>
              <w:bottom w:w="70" w:type="dxa"/>
              <w:end w:w="80" w:type="dxa"/>
            </w:tcMar>
          </w:tcPr>
          <w:p>
            <w:r>
              <w:t>c0 частного контура 510 млн руб. (AGRI 260 + TRANS 250) по схеме ГЧП; OPEX прикладного слоя 145 млн руб./год (75 + 70); служба продаж и поддержки.</w:t>
            </w:r>
          </w:p>
        </w:tc>
        <w:tc>
          <w:tcPr>
            <w:tcW w:type="dxa" w:w="1300"/>
            <w:vAlign w:val="top"/>
            <w:tcMar>
              <w:top w:w="70" w:type="dxa"/>
              <w:start w:w="80" w:type="dxa"/>
              <w:bottom w:w="70" w:type="dxa"/>
              <w:end w:w="80" w:type="dxa"/>
            </w:tcMar>
          </w:tcPr>
          <w:p>
            <w:r>
              <w:t>Оператор, частный партнёр, публичные якорные заказчики</w:t>
            </w:r>
          </w:p>
        </w:tc>
        <w:tc>
          <w:tcPr>
            <w:tcW w:type="dxa" w:w="1300"/>
            <w:vAlign w:val="top"/>
            <w:tcMar>
              <w:top w:w="70" w:type="dxa"/>
              <w:start w:w="80" w:type="dxa"/>
              <w:bottom w:w="70" w:type="dxa"/>
              <w:end w:w="80" w:type="dxa"/>
            </w:tcMar>
          </w:tcPr>
          <w:p>
            <w:r>
              <w:t>Тарифные тесты, пользовательские пилоты и договорные условия ГЧП.</w:t>
            </w:r>
          </w:p>
        </w:tc>
        <w:tc>
          <w:tcPr>
            <w:tcW w:type="dxa" w:w="1435"/>
            <w:vAlign w:val="top"/>
            <w:tcMar>
              <w:top w:w="70" w:type="dxa"/>
              <w:start w:w="80" w:type="dxa"/>
              <w:bottom w:w="70" w:type="dxa"/>
              <w:end w:w="80" w:type="dxa"/>
            </w:tcMar>
          </w:tcPr>
          <w:p>
            <w:r>
              <w:t>KPI приняты, якорные договоры действуют, спрос подтверждён пилотом, письмом или ценовым тестом.</w:t>
            </w:r>
          </w:p>
        </w:tc>
      </w:tr>
      <w:tr>
        <w:trPr>
          <w:cantSplit/>
        </w:trPr>
        <w:tc>
          <w:tcPr>
            <w:tcW w:type="dxa" w:w="1250"/>
            <w:vAlign w:val="top"/>
            <w:tcMar>
              <w:top w:w="70" w:type="dxa"/>
              <w:start w:w="80" w:type="dxa"/>
              <w:bottom w:w="70" w:type="dxa"/>
              <w:end w:w="80" w:type="dxa"/>
            </w:tcMar>
          </w:tcPr>
          <w:p>
            <w:r>
              <w:t>5. Тиражирование</w:t>
              <w:br/>
              <w:t>2031–2033</w:t>
            </w:r>
          </w:p>
        </w:tc>
        <w:tc>
          <w:tcPr>
            <w:tcW w:type="dxa" w:w="1700"/>
            <w:vAlign w:val="top"/>
            <w:tcMar>
              <w:top w:w="70" w:type="dxa"/>
              <w:start w:w="80" w:type="dxa"/>
              <w:bottom w:w="70" w:type="dxa"/>
              <w:end w:w="80" w:type="dxa"/>
            </w:tcMar>
          </w:tcPr>
          <w:p>
            <w:r>
              <w:t>Подключение новых регионов через локальные настройки и последнюю версию типового ядра.</w:t>
            </w:r>
          </w:p>
        </w:tc>
        <w:tc>
          <w:tcPr>
            <w:tcW w:type="dxa" w:w="1500"/>
            <w:vAlign w:val="top"/>
            <w:tcMar>
              <w:top w:w="70" w:type="dxa"/>
              <w:start w:w="80" w:type="dxa"/>
              <w:bottom w:w="70" w:type="dxa"/>
              <w:end w:w="80" w:type="dxa"/>
            </w:tcMar>
          </w:tcPr>
          <w:p>
            <w:r>
              <w:t>Повторяемый процесс масштабирования и актуальная база знаний.</w:t>
            </w:r>
          </w:p>
        </w:tc>
        <w:tc>
          <w:tcPr>
            <w:tcW w:type="dxa" w:w="1600"/>
            <w:vAlign w:val="top"/>
            <w:tcMar>
              <w:top w:w="70" w:type="dxa"/>
              <w:start w:w="80" w:type="dxa"/>
              <w:bottom w:w="70" w:type="dxa"/>
              <w:end w:w="80" w:type="dxa"/>
            </w:tcMar>
          </w:tcPr>
          <w:p>
            <w:r>
              <w:t>OPEX портфеля 313 млн руб./год и типовое ядро. Затраты нового региона считаются тем же инструментом и в c0 портфеля не входят.</w:t>
            </w:r>
          </w:p>
        </w:tc>
        <w:tc>
          <w:tcPr>
            <w:tcW w:type="dxa" w:w="1300"/>
            <w:vAlign w:val="top"/>
            <w:tcMar>
              <w:top w:w="70" w:type="dxa"/>
              <w:start w:w="80" w:type="dxa"/>
              <w:bottom w:w="70" w:type="dxa"/>
              <w:end w:w="80" w:type="dxa"/>
            </w:tcMar>
          </w:tcPr>
          <w:p>
            <w:r>
              <w:t>Межрегиональный заказчик / оператор</w:t>
            </w:r>
          </w:p>
        </w:tc>
        <w:tc>
          <w:tcPr>
            <w:tcW w:type="dxa" w:w="1300"/>
            <w:vAlign w:val="top"/>
            <w:tcMar>
              <w:top w:w="70" w:type="dxa"/>
              <w:start w:w="80" w:type="dxa"/>
              <w:bottom w:w="70" w:type="dxa"/>
              <w:end w:w="80" w:type="dxa"/>
            </w:tcMar>
          </w:tcPr>
          <w:p>
            <w:r>
              <w:t>Стабильные KPI, типовые SLA и договорные шаблоны.</w:t>
            </w:r>
          </w:p>
        </w:tc>
        <w:tc>
          <w:tcPr>
            <w:tcW w:type="dxa" w:w="1435"/>
            <w:vAlign w:val="top"/>
            <w:tcMar>
              <w:top w:w="70" w:type="dxa"/>
              <w:start w:w="80" w:type="dxa"/>
              <w:bottom w:w="70" w:type="dxa"/>
              <w:end w:w="80" w:type="dxa"/>
            </w:tcMar>
          </w:tcPr>
          <w:p>
            <w:r>
              <w:t>Новый регион запущен по шаблону, локальные изменения и качество зафиксированы.</w:t>
            </w:r>
          </w:p>
        </w:tc>
      </w:tr>
    </w:tbl>
    <w:p>
      <w:pPr>
        <w:spacing w:after="0"/>
      </w:pPr>
      <w:r>
        <w:t xml:space="preserve">Календарная дорожная карта принята как проектное допущение команды. Она связывает техническую готовность, подтверждение плательщиков, пилоты публичного ядра, запуск прикладного слоя и дальнейшее тиражирование. В таблице выше по каждому этапу указаны срок, содержание, результат, ресурсы, ответственный контур, зависимости и критерий завершения; ресурсы приведены по выгрузке results/ и разделены на бюджетный и частный контуры финансирования.</w:t>
      </w:r>
    </w:p>
    <w:p>
      <w:r>
        <w:t>Целевые числовые значения KPI не задаются без базовой линии: они фиксируются в SLA после пилота. Для каждого сервиса определены измеримые показатели и источники проверки; полный перечень хранится в материалах участника №2. KPI эксплуатации не входят в vpub, cash или K_cash.</w:t>
      </w:r>
    </w:p>
    <w:p>
      <w:pPr>
        <w:pStyle w:val="Heading1"/>
      </w:pPr>
      <w:r>
        <w:t>12. Ограничения выводов и итог</w:t>
      </w:r>
    </w:p>
    <w:p>
      <w:r>
        <w:rPr>
          <w:rFonts w:ascii="Arial" w:hAnsi="Arial" w:eastAsia="Arial"/>
          <w:sz w:val="21"/>
        </w:rPr>
        <w:t>Рекомендация ограничена качеством исходных условий кейса и допущений команды. Числовые параметры синтетические. Конкретные ведомства-плательщики не подтверждены письмами или договорами; коммерческий спрос не подтверждён пилотами или ценовыми тестами. Модель не учитывает дисконтирование, налоги, стоимость капитала и помесячные кассовые разрывы. Поэтому расчёты обосновывают сравнение портфелей в рамках кейса, но не заменяют инвестиционную модель реального проекта.</w:t>
      </w:r>
    </w:p>
    <w:p>
      <w:r>
        <w:rPr>
          <w:rFonts w:ascii="Arial" w:hAnsi="Arial" w:eastAsia="Arial"/>
          <w:sz w:val="21"/>
        </w:rPr>
        <w:t>С учётом этих ограничений FINAL является защищаемым управленческим вариантом, но не математическим top-1 MCDA. Он занимает 3-е место среди 143 STRESS-допустимых комбинаций и находится на фронте Парето по vpub, c0 и K_cash. Команда сознательно принимает часть финансово-бюджетного преимущества режимов C ради более высокой общественной ценности и более широкого гибридного доступа в AGRI/TRANS. Портфель проходит BASE и STRESS, сохраняет два public core и покрывает OPEX модельным денежным потоком.</w:t>
      </w:r>
    </w:p>
    <w:p>
      <w:r/>
    </w:p>
    <w:p>
      <w:pPr>
        <w:pStyle w:val="Heading1"/>
        <w:spacing w:before="80" w:after="40"/>
      </w:pPr>
      <w:r>
        <w:rPr>
          <w:sz w:val="18"/>
        </w:rPr>
        <w:t>Использованные основания и источники</w:t>
      </w:r>
    </w:p>
    <w:p>
      <w:pPr>
        <w:pStyle w:val="ListBullet"/>
        <w:spacing w:after="0" w:before="0" w:line="240" w:lineRule="auto"/>
      </w:pPr>
      <w:r>
        <w:rPr>
          <w:rFonts w:ascii="Arial" w:hAnsi="Arial" w:eastAsia="Arial"/>
          <w:sz w:val="16"/>
        </w:rPr>
        <w:t>Постановка задачи «Космос как инфраструктура», КосмоХакатон 2026, с. 2–8.</w:t>
      </w:r>
    </w:p>
    <w:p>
      <w:pPr>
        <w:pStyle w:val="ListBullet"/>
        <w:spacing w:after="0" w:before="0" w:line="240" w:lineRule="auto"/>
      </w:pPr>
      <w:r>
        <w:rPr>
          <w:rFonts w:ascii="Arial" w:hAnsi="Arial" w:eastAsia="Arial"/>
          <w:sz w:val="16"/>
        </w:rPr>
        <w:t>Критерии оценки «Космос как инфраструктура», КосмоХакатон 2026, с. 2–8.</w:t>
      </w:r>
    </w:p>
    <w:p>
      <w:pPr>
        <w:pStyle w:val="ListBullet"/>
        <w:spacing w:after="0" w:before="0" w:line="240" w:lineRule="auto"/>
      </w:pPr>
      <w:r>
        <w:rPr>
          <w:rFonts w:ascii="Arial" w:hAnsi="Arial" w:eastAsia="Arial"/>
          <w:sz w:val="16"/>
        </w:rPr>
        <w:t>Материалы организаторов в cases/case02: lots.csv, access_modes.csv, case_config.json, case_core.py, стартовый notebook.</w:t>
      </w:r>
    </w:p>
    <w:p>
      <w:pPr>
        <w:pStyle w:val="ListBullet"/>
        <w:spacing w:after="0" w:before="0" w:line="240" w:lineRule="auto"/>
      </w:pPr>
      <w:r>
        <w:rPr>
          <w:rFonts w:ascii="Arial" w:hAnsi="Arial" w:eastAsia="Arial"/>
          <w:sz w:val="16"/>
        </w:rPr>
        <w:t>Результаты команды: results/base.json, results/stress.json, results/alternatives.csv, results/scores.csv, results/sensitivity.csv, results/ranking_full.csv, results/sensitivity_full.csv, results/repairs_base.csv, results/repairs_stress.csv, results/portfolio_detail.csv, results/portfolio_metrics.json, results/team_decision_config.json; входные решения — config/portfolio.json, config/alternatives.json, config/weights.json, config/assumptions.json, config/team.json.</w:t>
      </w:r>
    </w:p>
    <w:p>
      <w:pPr>
        <w:pStyle w:val="ListBullet"/>
        <w:spacing w:after="0" w:before="0" w:line="240" w:lineRule="auto"/>
      </w:pPr>
      <w:r>
        <w:t>Материалы команды по модели и реализации: docs/note/02-selection.md, docs/note/03-finance.md, docs/note/06-stress.md, docs/D-confirmations.md, docs/team/participant-2/README.md, service_cards_full.csv, source_register.md, app/config/why_final.json, docs/live-demo.md, docs/clean-run.md.</w:t>
      </w:r>
    </w:p>
    <w:p>
      <w:pPr>
        <w:pStyle w:val="ListBullet"/>
        <w:spacing w:after="0" w:before="0" w:line="240" w:lineRule="auto"/>
      </w:pPr>
      <w:r>
        <w:rPr>
          <w:rFonts w:ascii="Arial" w:hAnsi="Arial" w:eastAsia="Arial"/>
          <w:sz w:val="16"/>
        </w:rPr>
        <w:t xml:space="preserve">Внешние источники. Ниже — литература, предложенная организаторами (пп. 1–11), и дополнительные научные работы команды (пп. 12–16). Официальные отраслевые ссылки (Рослесхоз/ИСДМ-Рослесхоз, ESA по EO, Sentinel-2 и InSAR, Росгидромет по «Арктике-М») и нормативные акты (44-ФЗ, 223-ФЗ, 224-ФЗ, 115-ФЗ, 89-ФЗ) перечислены с точными местами в docs/team/participant-2/source_register.md и docs/sources.md.</w:t>
      </w:r>
    </w:p>
    <w:p>
      <w:pPr>
        <w:pStyle w:val="ListBullet"/>
        <w:spacing w:after="0" w:before="0" w:line="240" w:lineRule="auto"/>
      </w:pPr>
      <w:r>
        <w:rPr>
          <w:rFonts w:ascii="Arial" w:hAnsi="Arial" w:eastAsia="Arial"/>
          <w:sz w:val="16"/>
        </w:rPr>
        <w:t xml:space="preserve">1. Заварухин В. П., Фролова Н. Д., Байбулатова Д. В. Государственно-частное партнерство как инструмент развития космического сектора США и Великобритании // Российское конкурентное право и экономика. 2021. № 4 (28). С. 76–87. DOI: 10.47361/2542-0259-2021-4-28-76-87.</w:t>
      </w:r>
    </w:p>
    <w:p>
      <w:pPr>
        <w:pStyle w:val="ListBullet"/>
        <w:spacing w:after="0" w:before="0" w:line="240" w:lineRule="auto"/>
      </w:pPr>
      <w:r>
        <w:rPr>
          <w:rFonts w:ascii="Arial" w:hAnsi="Arial" w:eastAsia="Arial"/>
          <w:sz w:val="16"/>
        </w:rPr>
        <w:t xml:space="preserve">2. Кравченко Д. Б. Предпосылки для создания устойчивого рынка данных дистанционного зондирования Земли на современном этапе развития космической отрасли России // Экономика космоса. 2024. № 9. С. 3–7. DOI: 10.48612/agat/space_economics/2024.03.09.01.</w:t>
      </w:r>
    </w:p>
    <w:p>
      <w:pPr>
        <w:pStyle w:val="ListBullet"/>
        <w:spacing w:after="0" w:before="0" w:line="240" w:lineRule="auto"/>
      </w:pPr>
      <w:r>
        <w:rPr>
          <w:rFonts w:ascii="Arial" w:hAnsi="Arial" w:eastAsia="Arial"/>
          <w:sz w:val="16"/>
        </w:rPr>
        <w:t xml:space="preserve">3. Маглинец Ю. А., Раевич К. В., Шатров Р. А., Брежнев Р. В., Михалев А. С., Матюнин В. М., Антипова Е. А. Автоматизация процесса обнаружения лесных пожаров по данным дистанционного зондирования Арктика-М // Международный научно-исследовательский журнал. 2024. № 10 (148). DOI: 10.60797/IRJ.2024.148.140.</w:t>
      </w:r>
    </w:p>
    <w:p>
      <w:pPr>
        <w:pStyle w:val="ListBullet"/>
        <w:spacing w:after="0" w:before="0" w:line="240" w:lineRule="auto"/>
      </w:pPr>
      <w:r>
        <w:rPr>
          <w:rFonts w:ascii="Arial" w:hAnsi="Arial" w:eastAsia="Arial"/>
          <w:sz w:val="16"/>
        </w:rPr>
        <w:t xml:space="preserve">4. Долматов С. Н., Колесников П. Г., Черников Д. Ю., Гарифулин В. Ф. Использование широкополосного радиодоступа и технологий дистанционного мониторинга для обнаружения и управления тушением лесных пожаров // Хвойные бореальной зоны. 2023. Т. XLI, № 1. С. 24–32. DOI: 10.53374/1993-0135-2023-1-24-32.</w:t>
      </w:r>
    </w:p>
    <w:p>
      <w:pPr>
        <w:pStyle w:val="ListBullet"/>
        <w:spacing w:after="0" w:before="0" w:line="240" w:lineRule="auto"/>
      </w:pPr>
      <w:r>
        <w:rPr>
          <w:rFonts w:ascii="Arial" w:hAnsi="Arial" w:eastAsia="Arial"/>
          <w:sz w:val="16"/>
        </w:rPr>
        <w:t xml:space="preserve">5. Нощенко Д. С., Пережогин А. С. О методе радарной интерферометрии для оценки деформации земной поверхности // Вестник КРАУНЦ. Физико-математические науки. 2010. № 1 (1). С. 54–61. DOI: 10.18454/2079-6641-2010-1-1-54-61.</w:t>
      </w:r>
    </w:p>
    <w:p>
      <w:pPr>
        <w:pStyle w:val="ListBullet"/>
        <w:spacing w:after="0" w:before="0" w:line="240" w:lineRule="auto"/>
      </w:pPr>
      <w:r>
        <w:rPr>
          <w:rFonts w:ascii="Arial" w:hAnsi="Arial" w:eastAsia="Arial"/>
          <w:sz w:val="16"/>
        </w:rPr>
        <w:t xml:space="preserve">6. Virapongse A., Pearlman F., Pearlman J., Murambadoro M. D., Kuwayama Y., Glasscoe M. T. et al. Ten rules to increase the societal value of earth observations // Earth Science Informatics. 2020. Vol. 13, no. 2. P. 233–247. DOI: 10.1007/s12145-020-00453-w.</w:t>
      </w:r>
    </w:p>
    <w:p>
      <w:pPr>
        <w:pStyle w:val="ListBullet"/>
        <w:spacing w:after="0" w:before="0" w:line="240" w:lineRule="auto"/>
      </w:pPr>
      <w:r>
        <w:rPr>
          <w:rFonts w:ascii="Arial" w:hAnsi="Arial" w:eastAsia="Arial"/>
          <w:sz w:val="16"/>
        </w:rPr>
        <w:t xml:space="preserve">7. Sishodia R. P., Ray R. L., Singh S. K. Applications of Remote Sensing in Precision Agriculture: A Review // Remote Sensing. 2020. Vol. 12, no. 19. Art. 3136. DOI: 10.3390/rs12193136.</w:t>
      </w:r>
    </w:p>
    <w:p>
      <w:pPr>
        <w:pStyle w:val="ListBullet"/>
        <w:spacing w:after="0" w:before="0" w:line="240" w:lineRule="auto"/>
      </w:pPr>
      <w:r>
        <w:rPr>
          <w:rFonts w:ascii="Arial" w:hAnsi="Arial" w:eastAsia="Arial"/>
          <w:sz w:val="16"/>
        </w:rPr>
        <w:t xml:space="preserve">8. Munawar H. S., Hammad A. W. A., Waller S. T. Remote Sensing Methods for Flood Prediction: A Review // Sensors. 2022. Vol. 22, no. 3. Art. 960. DOI: 10.3390/s22030960.</w:t>
      </w:r>
    </w:p>
    <w:p>
      <w:pPr>
        <w:pStyle w:val="ListBullet"/>
        <w:spacing w:after="0" w:before="0" w:line="240" w:lineRule="auto"/>
      </w:pPr>
      <w:r>
        <w:rPr>
          <w:rFonts w:ascii="Arial" w:hAnsi="Arial" w:eastAsia="Arial"/>
          <w:sz w:val="16"/>
        </w:rPr>
        <w:t xml:space="preserve">9. Kyriou A., Mpelogianni V., Nikolakopoulos K., Groumpos P. P. Review of Remote Sensing Approaches and Soft Computing for Infrastructure Monitoring // Geomatics. 2023. Vol. 3, no. 3. P. 367–394. DOI: 10.3390/geomatics3030021.</w:t>
      </w:r>
    </w:p>
    <w:p>
      <w:pPr>
        <w:pStyle w:val="ListBullet"/>
        <w:spacing w:after="0" w:before="0" w:line="240" w:lineRule="auto"/>
      </w:pPr>
      <w:r>
        <w:rPr>
          <w:rFonts w:ascii="Arial" w:hAnsi="Arial" w:eastAsia="Arial"/>
          <w:sz w:val="16"/>
        </w:rPr>
        <w:t xml:space="preserve">10. Wang B., Li S., Mu J., Hao X., Zhu W., Hu J. Research Advancements in Key Technologies for Space-Based Situational Awareness // Space: Science &amp; Technology. 2022. Vol. 2022. Art. 9802793. DOI: 10.34133/2022/9802793.</w:t>
      </w:r>
    </w:p>
    <w:p>
      <w:pPr>
        <w:pStyle w:val="ListBullet"/>
        <w:spacing w:after="0" w:before="0" w:line="240" w:lineRule="auto"/>
      </w:pPr>
      <w:r>
        <w:rPr>
          <w:rFonts w:ascii="Arial" w:hAnsi="Arial" w:eastAsia="Arial"/>
          <w:sz w:val="16"/>
        </w:rPr>
        <w:t xml:space="preserve">11. Kawai M., Hanaoka S. A Decision-Making Framework for Public–Private Partnership Model Selection in the Space Sector: Policy and Market Dynamics Across Countries // Administrative Sciences. 2025. Vol. 15, no. 9. Art. 367. DOI: 10.3390/admsci15090367.</w:t>
      </w:r>
    </w:p>
    <w:p>
      <w:pPr>
        <w:pStyle w:val="ListBullet"/>
        <w:spacing w:after="0" w:before="0" w:line="240" w:lineRule="auto"/>
      </w:pPr>
      <w:r>
        <w:rPr>
          <w:rFonts w:ascii="Arial" w:hAnsi="Arial" w:eastAsia="Arial"/>
          <w:sz w:val="16"/>
        </w:rPr>
        <w:t xml:space="preserve">12. Zancan V., Pozzi A., Rota A., Deutsch S., Trucco P. Navigating procurement strategies adoption in the New Space transition: Drivers and conditions // Space Policy. 2026. Vol. 76. Art. 101735. DOI: 10.1016/j.spacepol.2025.101735.</w:t>
      </w:r>
    </w:p>
    <w:p>
      <w:pPr>
        <w:pStyle w:val="ListBullet"/>
        <w:spacing w:after="0" w:before="0" w:line="240" w:lineRule="auto"/>
      </w:pPr>
      <w:r>
        <w:rPr>
          <w:rFonts w:ascii="Arial" w:hAnsi="Arial" w:eastAsia="Arial"/>
          <w:sz w:val="16"/>
        </w:rPr>
        <w:t xml:space="preserve">13. Takata S., Hidaka K. New public-private partnership based on the interactive collaboration in the space sector // Acta Astronautica. 2025. Vol. 231. P. 25–36. DOI: 10.1016/j.actaastro.2025.02.009.</w:t>
      </w:r>
    </w:p>
    <w:p>
      <w:pPr>
        <w:pStyle w:val="ListBullet"/>
        <w:spacing w:after="0" w:before="0" w:line="240" w:lineRule="auto"/>
      </w:pPr>
      <w:r>
        <w:rPr>
          <w:rFonts w:ascii="Arial" w:hAnsi="Arial" w:eastAsia="Arial"/>
          <w:sz w:val="16"/>
        </w:rPr>
        <w:t xml:space="preserve">14. Payson D. Public goods and the evaluation of complex outcomes in space economy // Space Policy. 2026. Art. 101762. DOI: 10.1016/j.spacepol.2026.101762.</w:t>
      </w:r>
    </w:p>
    <w:p>
      <w:pPr>
        <w:pStyle w:val="ListBullet"/>
        <w:spacing w:after="0" w:before="0" w:line="240" w:lineRule="auto"/>
      </w:pPr>
      <w:r>
        <w:rPr>
          <w:rFonts w:ascii="Arial" w:hAnsi="Arial" w:eastAsia="Arial"/>
          <w:sz w:val="16"/>
        </w:rPr>
        <w:t xml:space="preserve">15. Melamed A., Rao A., de Rohan Willner O., Kreps S. Going to outer space with new space: The rise and consequences of evolving public-private partnerships // Space Policy. 2024. Vol. 68. Art. 101626. DOI: 10.1016/j.spacepol.2024.101626.</w:t>
      </w:r>
    </w:p>
    <w:p>
      <w:pPr>
        <w:pStyle w:val="ListBullet"/>
        <w:spacing w:after="0" w:before="0" w:line="240" w:lineRule="auto"/>
      </w:pPr>
      <w:r>
        <w:rPr>
          <w:rFonts w:ascii="Arial" w:hAnsi="Arial" w:eastAsia="Arial"/>
          <w:sz w:val="16"/>
        </w:rPr>
        <w:t xml:space="preserve">16. OECD. The Space Economy at a Glance 2026. Paris: OECD Publishing, 2026. DOI: 10.1787/cbf9b240-en.</w:t>
      </w:r>
    </w:p>
    <w:sectPr w:rsidR="00FC693F" w:rsidRPr="0006063C" w:rsidSect="00034616">
      <w:footerReference w:type="default" r:id="rId9"/>
      <w:pgSz w:w="12240" w:h="15840"/>
      <w:pgMar w:top="964" w:right="1020" w:bottom="907"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w:sz w:val="18"/>
      </w:rPr>
      <w:t xml:space="preserve">Стр.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Arial" w:hAnsi="Arial"/>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spacing w:after="60" w:line="240" w:lineRule="auto"/>
    </w:pPr>
    <w:rPr>
      <w:rFonts w:ascii="Arial" w:hAnsi="Arial"/>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