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t>Дополнительные сведения к сдаче TerraPlan</w:t>
      </w:r>
    </w:p>
    <w:p>
      <w:pPr>
        <w:spacing w:after="200"/>
        <w:jc w:val="center"/>
      </w:pPr>
      <w:r>
        <w:rPr>
          <w:rFonts w:ascii="Arial" w:hAnsi="Arial"/>
          <w:color w:val="595959"/>
          <w:sz w:val="24"/>
        </w:rPr>
        <w:t>Проверка Telegram, ссылок на записи и ответов организаторов</w:t>
      </w:r>
    </w:p>
    <w:p>
      <w:pPr>
        <w:spacing w:after="140" w:line="252" w:lineRule="auto"/>
      </w:pPr>
      <w:r>
        <w:rPr>
          <w:rFonts w:ascii="Arial" w:hAnsi="Arial"/>
          <w:i w:val="0"/>
          <w:color w:val="666666"/>
          <w:sz w:val="20"/>
        </w:rPr>
        <w:t>Дата проверки: 19 сентября 2026. Чат Telegram открыт в режиме чтения; сообщения, реакции и загрузки не выполнялись.</w:t>
      </w:r>
    </w:p>
    <w:p>
      <w:pPr>
        <w:spacing w:after="140" w:line="252" w:lineRule="auto"/>
      </w:pPr>
      <w:r>
        <w:rPr>
          <w:rFonts w:ascii="Arial" w:hAnsi="Arial"/>
          <w:i w:val="0"/>
          <w:sz w:val="20"/>
        </w:rPr>
        <w:t>Цель документа — зафиксировать только новые полезные сведения, которых нет или недостаточно в текущей документации проекта, и превратить их в проверяемые задачи перед публикацией и защитой.</w:t>
      </w:r>
    </w:p>
    <w:p>
      <w:pPr>
        <w:pStyle w:val="Heading1"/>
        <w:spacing w:before="180" w:after="80"/>
      </w:pPr>
      <w:r>
        <w:rPr>
          <w:rFonts w:ascii="Arial" w:hAnsi="Arial"/>
          <w:b/>
          <w:color w:val="1F4E79"/>
          <w:sz w:val="30"/>
        </w:rPr>
        <w:t>Итог для команды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Новых обязательных расчётов от организаторов не найдено. Основной риск перед защитой — не модель, а доказательство: доступный сервис, короткая демонстрация и понятная привязка речи к критериям.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P2z остаётся выбранной стратегией: P3 дешевле в BASE, но P2z имеет меньший CAPEX и меньшую стоимость адаптированного стресса; выбор подтверждён всеми раскрытыми MCDA-профилями.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В стрессе 97%/99% — guideline, а не hard-ограничение. При этом команда добровольно оставляет 100% общего и критического сервиса как некомпенсируемое правило отбора; это нужно проговорить именно так.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Все договорные пункты, cap/collar, remedies, приёмочные ворота и остаточный риск — только TEAM_ASSUMPTION. Они не должны звучать как условия организатора или подписанный контракт.</w:t>
      </w:r>
    </w:p>
    <w:p>
      <w:pPr>
        <w:pStyle w:val="Heading1"/>
        <w:spacing w:before="180" w:after="80"/>
      </w:pPr>
      <w:r>
        <w:rPr>
          <w:rFonts w:ascii="Arial" w:hAnsi="Arial"/>
          <w:b/>
          <w:color w:val="1F4E79"/>
          <w:sz w:val="30"/>
        </w:rPr>
        <w:t>1. Что подтверждено в Telegram</w:t>
      </w:r>
    </w:p>
    <w:p>
      <w:pPr>
        <w:spacing w:after="80" w:line="252" w:lineRule="auto"/>
      </w:pPr>
      <w:r>
        <w:rPr>
          <w:rFonts w:ascii="Arial" w:hAnsi="Arial"/>
          <w:i w:val="0"/>
          <w:sz w:val="20"/>
        </w:rPr>
        <w:t>Ниже собраны ответы из тем «Важное» и «Вопрос организаторы». Формулировки пригодны как release-чеклист, а не как новые входные данные модели.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24"/>
            <w:vAlign w:val="top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Подтверждение</w:t>
            </w:r>
          </w:p>
        </w:tc>
        <w:tc>
          <w:tcPr>
            <w:tcW w:type="dxa" w:w="3402"/>
            <w:vAlign w:val="top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Практический вывод</w:t>
            </w:r>
          </w:p>
        </w:tc>
        <w:tc>
          <w:tcPr>
            <w:tcW w:type="dxa" w:w="3118"/>
            <w:vAlign w:val="top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Доказательство перед отправкой</w:t>
            </w:r>
          </w:p>
        </w:tc>
      </w:tr>
      <w:tr>
        <w:tc>
          <w:tcPr>
            <w:tcW w:type="dxa" w:w="2324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Защита: 4 минуты выступление + 2 минуты вопросы.</w:t>
            </w:r>
          </w:p>
        </w:tc>
        <w:tc>
          <w:tcPr>
            <w:tcW w:type="dxa" w:w="3402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Один спикер, заранее пройти весь сценарий с таймером; ответы держать в резерве.</w:t>
            </w:r>
          </w:p>
        </w:tc>
        <w:tc>
          <w:tcPr>
            <w:tcW w:type="dxa" w:w="3118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Видео-репетиция ≤4:00 и отдельный список ответов на 2:00.</w:t>
            </w:r>
          </w:p>
        </w:tc>
      </w:tr>
      <w:tr>
        <w:tc>
          <w:tcPr>
            <w:tcW w:type="dxa" w:w="232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Презентация: 20.09 до 10:00 МСК; 16:9; 1920×1080; имя файла — название команды; без шаблона.</w:t>
            </w:r>
          </w:p>
        </w:tc>
        <w:tc>
          <w:tcPr>
            <w:tcW w:type="dxa" w:w="340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Не менять структуру в последний момент; проверить открытие PPTX/PDF после загрузки.</w:t>
            </w:r>
          </w:p>
        </w:tc>
        <w:tc>
          <w:tcPr>
            <w:tcW w:type="dxa" w:w="311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Файл с именем команды, 12 слайдов, проверка разрешения и последовательного клика.</w:t>
            </w:r>
          </w:p>
        </w:tc>
      </w:tr>
      <w:tr>
        <w:tc>
          <w:tcPr>
            <w:tcW w:type="dxa" w:w="2324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Организаторы требуют косвенно или прямо покрыть все критерии оценки.</w:t>
            </w:r>
          </w:p>
        </w:tc>
        <w:tc>
          <w:tcPr>
            <w:tcW w:type="dxa" w:w="3402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В речи назвать критерии 1–20 группами и показать один артефакт/цифру на группу.</w:t>
            </w:r>
          </w:p>
        </w:tc>
        <w:tc>
          <w:tcPr>
            <w:tcW w:type="dxa" w:w="3118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Шпаргалка «критерий → слайд/экран → ответ» у спикера.</w:t>
            </w:r>
          </w:p>
        </w:tc>
      </w:tr>
      <w:tr>
        <w:tc>
          <w:tcPr>
            <w:tcW w:type="dxa" w:w="232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Онлайн-участникам рекомендовано самодемонстрировать решение; в другом сообщении сказано, что из зала могут кликать слайды.</w:t>
            </w:r>
          </w:p>
        </w:tc>
        <w:tc>
          <w:tcPr>
            <w:tcW w:type="dxa" w:w="340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Готовить self-demo как основной вариант: спикер умеет переключать слайды и экран; при необходимости передать управление ведущему.</w:t>
            </w:r>
          </w:p>
        </w:tc>
        <w:tc>
          <w:tcPr>
            <w:tcW w:type="dxa" w:w="311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Пробный созвон с тем же браузером и резервная запись экрана.</w:t>
            </w:r>
          </w:p>
        </w:tc>
      </w:tr>
      <w:tr>
        <w:tc>
          <w:tcPr>
            <w:tcW w:type="dxa" w:w="2324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Команда: 3–5 человек; один представитель может загрузить репозиторий.</w:t>
            </w:r>
          </w:p>
        </w:tc>
        <w:tc>
          <w:tcPr>
            <w:tcW w:type="dxa" w:w="3402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Назначить одного release-owner, но сохранить доступы и резервный контакт.</w:t>
            </w:r>
          </w:p>
        </w:tc>
        <w:tc>
          <w:tcPr>
            <w:tcW w:type="dxa" w:w="3118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Скрин/подтверждение состава и права загрузки.</w:t>
            </w:r>
          </w:p>
        </w:tc>
      </w:tr>
      <w:tr>
        <w:tc>
          <w:tcPr>
            <w:tcW w:type="dxa" w:w="232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GitVerse: username без @ привязывается в профиле; доступ выдаётся пулами; при задержке более 2 часов — поддержка @Stacky0.</w:t>
            </w:r>
          </w:p>
        </w:tc>
        <w:tc>
          <w:tcPr>
            <w:tcW w:type="dxa" w:w="340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Синхронизировать username, дождаться доступа, не оставлять публикацию на последний час.</w:t>
            </w:r>
          </w:p>
        </w:tc>
        <w:tc>
          <w:tcPr>
            <w:tcW w:type="dxa" w:w="311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Репозиторий виден из кабинета и открывается без авторизации жюри.</w:t>
            </w:r>
          </w:p>
        </w:tc>
      </w:tr>
      <w:tr>
        <w:tc>
          <w:tcPr>
            <w:tcW w:type="dxa" w:w="2324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Последний вопрос о 23:00 против 23:30 ответа не получил; в закреплённом сообщении указан stop-code 23:30 МСК.</w:t>
            </w:r>
          </w:p>
        </w:tc>
        <w:tc>
          <w:tcPr>
            <w:tcW w:type="dxa" w:w="3402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Считать рабочим дедлайном 23:30, но перед финальной отправкой сверить таймер платформы.</w:t>
            </w:r>
          </w:p>
        </w:tc>
        <w:tc>
          <w:tcPr>
            <w:tcW w:type="dxa" w:w="3118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Скрин актуального таймера/правила в кабинете.</w:t>
            </w:r>
          </w:p>
        </w:tc>
      </w:tr>
    </w:tbl>
    <w:p>
      <w:pPr>
        <w:spacing w:after="20"/>
      </w:pPr>
    </w:p>
    <w:p>
      <w:pPr>
        <w:pStyle w:val="Heading1"/>
        <w:spacing w:before="180" w:after="80"/>
      </w:pPr>
      <w:r>
        <w:rPr>
          <w:rFonts w:ascii="Arial" w:hAnsi="Arial"/>
          <w:b/>
          <w:color w:val="1F4E79"/>
          <w:sz w:val="30"/>
        </w:rPr>
        <w:t>2. Новые выводы из видеозаписей</w:t>
      </w:r>
    </w:p>
    <w:p>
      <w:pPr>
        <w:spacing w:after="80" w:line="252" w:lineRule="auto"/>
      </w:pPr>
      <w:r>
        <w:rPr>
          <w:rFonts w:ascii="Arial" w:hAnsi="Arial"/>
          <w:i w:val="0"/>
          <w:sz w:val="20"/>
        </w:rPr>
        <w:t>Проверены страницы четырёх записей и их протоколы/расшифровки. Протоколы и расшифровки помечены самим сервисом как созданные ИИ; ниже они используются как оперативная выжимка и не заменяют сверку с видео при спорном вопросе.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vAlign w:val="top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Запись</w:t>
            </w:r>
          </w:p>
        </w:tc>
        <w:tc>
          <w:tcPr>
            <w:tcW w:type="dxa" w:w="4139"/>
            <w:vAlign w:val="top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Полезный ответ экспертов</w:t>
            </w:r>
          </w:p>
        </w:tc>
        <w:tc>
          <w:tcPr>
            <w:tcW w:type="dxa" w:w="2438"/>
            <w:vAlign w:val="top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добавить в доказательство</w:t>
            </w:r>
          </w:p>
        </w:tc>
      </w:tr>
      <w:tr>
        <w:tc>
          <w:tcPr>
            <w:tcW w:type="dxa" w:w="2268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Топливный космоконтур №1</w:t>
            </w:r>
          </w:p>
        </w:tc>
        <w:tc>
          <w:tcPr>
            <w:tcW w:type="dxa" w:w="4139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Нужен рабочий прототип, где оператор меняет входы и видит пересчёт; Excel не обязан быть основным решением. Допустим резервный screencast. Источник данных — постановка и README, если анкета не выдана.</w:t>
            </w:r>
          </w:p>
        </w:tc>
        <w:tc>
          <w:tcPr>
            <w:tcW w:type="dxa" w:w="2438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Показать один изменённый вход, пересчёт метрик и ссылку на runnable UI; приложить короткую запись на случай сбоя.</w:t>
            </w:r>
          </w:p>
        </w:tc>
      </w:tr>
      <w:tr>
        <w:tc>
          <w:tcPr>
            <w:tcW w:type="dxa" w:w="226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Топливный космоконтур №2</w:t>
            </w:r>
          </w:p>
        </w:tc>
        <w:tc>
          <w:tcPr>
            <w:tcW w:type="dxa" w:w="4139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Docker разрешён, но DevOps остаётся ответственностью команды. Переполнение депо нужно обрабатывать. Нужны научные источники; собственные источники допускаются. Жизненный цикл аппарата можно добавить, но не требуется. Обязательный стресс проверяется отдельно.</w:t>
            </w:r>
          </w:p>
        </w:tc>
        <w:tc>
          <w:tcPr>
            <w:tcW w:type="dxa" w:w="243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В демо показать storage-overflow/ограничение и объяснить, что контрактные решения не прячут нарушение резерва.</w:t>
            </w:r>
          </w:p>
        </w:tc>
      </w:tr>
      <w:tr>
        <w:tc>
          <w:tcPr>
            <w:tcW w:type="dxa" w:w="2268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Орбитальный риск №1</w:t>
            </w:r>
          </w:p>
        </w:tc>
        <w:tc>
          <w:tcPr>
            <w:tcW w:type="dxa" w:w="4139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Общие рекомендации: учитывать мусор, сближение, солнечную засветку и радиацию; интерфейс должен давать варианты и минимизировать критическое время реакции.</w:t>
            </w:r>
          </w:p>
        </w:tc>
        <w:tc>
          <w:tcPr>
            <w:tcW w:type="dxa" w:w="2438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Не переносить эти ориентиры в численные входы топливной модели без источника; использовать только как дополнительный риск/UX-контекст.</w:t>
            </w:r>
          </w:p>
        </w:tc>
      </w:tr>
      <w:tr>
        <w:tc>
          <w:tcPr>
            <w:tcW w:type="dxa" w:w="226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Орбитальный риск №2</w:t>
            </w:r>
          </w:p>
        </w:tc>
        <w:tc>
          <w:tcPr>
            <w:tcW w:type="dxa" w:w="4139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24 часа — минимум для анализа ВКД; точная критическая дистанция не названа, ориентир эксперта — сотни километров, десятки уже крайне близко. После stop-code код проверяют всю ночь. На защите начинать с решения, показывать цифры/визуалы, идти по критериям и явно объяснить компромисс.</w:t>
            </w:r>
          </w:p>
        </w:tc>
        <w:tc>
          <w:tcPr>
            <w:tcW w:type="dxa" w:w="243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Сделать короткий walkthrough P2z, а не рассказ о стеке; добавить слайд/шпаргалку «критерий → доказательство» и один компромиссный пример.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rial" w:hAnsi="Arial"/>
          <w:i w:val="0"/>
          <w:color w:val="555555"/>
          <w:sz w:val="20"/>
        </w:rPr>
        <w:t>Дополнительное уточнение: использование внешних LLM/облака на сессии не запрещали, но попросили учитывать российское право и обращение с данными. В нашем проекте это не меняет расчёты; достаточно не загружать чувствительные данные во внешние сервисы без необходимости.</w:t>
      </w:r>
    </w:p>
    <w:p>
      <w:pPr>
        <w:pStyle w:val="Heading1"/>
        <w:spacing w:before="180" w:after="80"/>
      </w:pPr>
      <w:r>
        <w:rPr>
          <w:rFonts w:ascii="Arial" w:hAnsi="Arial"/>
          <w:b/>
          <w:color w:val="1F4E79"/>
          <w:sz w:val="30"/>
        </w:rPr>
        <w:t>3. Короткий ответ жюри про P2z и P3</w:t>
      </w:r>
    </w:p>
    <w:p>
      <w:pPr>
        <w:spacing w:after="80" w:line="252" w:lineRule="auto"/>
      </w:pPr>
      <w:r>
        <w:rPr>
          <w:rFonts w:ascii="Arial" w:hAnsi="Arial"/>
          <w:b/>
          <w:i w:val="0"/>
          <w:sz w:val="20"/>
        </w:rPr>
        <w:t xml:space="preserve">Вопрос: </w:t>
      </w:r>
      <w:r>
        <w:rPr>
          <w:rFonts w:ascii="Arial" w:hAnsi="Arial"/>
          <w:i w:val="0"/>
          <w:sz w:val="20"/>
        </w:rPr>
        <w:t>«Почему P2z, если P3 дешевле в BASE?»</w:t>
      </w:r>
    </w:p>
    <w:p>
      <w:pPr>
        <w:spacing w:after="120"/>
        <w:ind w:left="283" w:right="198"/>
      </w:pPr>
      <w:r>
        <w:rPr>
          <w:rFonts w:ascii="Arial" w:hAnsi="Arial"/>
          <w:i/>
          <w:sz w:val="20"/>
        </w:rPr>
        <w:t>P3 экономит 90,5 млн PV в BASE, но это не весь критерий решения. У P2z CAPEX 540 млн против 1 430 млн у P3, адаптированный стресс стоит 10 097,5 против 10 636,7 млн PV, а MCDA даёт P2z первое место во всех четырёх раскрытых профилях. Поэтому выбираем P2z как более дешёвый и обратимый способ сохранить сервис при пересмотре плана; P3 остаётся резервной альтернативой при устойчивом спросе и отдельном инвестиционном gate.</w:t>
      </w:r>
    </w:p>
    <w:p>
      <w:pPr>
        <w:spacing w:after="120" w:line="252" w:lineRule="auto"/>
      </w:pPr>
      <w:r>
        <w:rPr>
          <w:rFonts w:ascii="Arial" w:hAnsi="Arial"/>
          <w:i w:val="0"/>
          <w:color w:val="8B0000"/>
          <w:sz w:val="20"/>
        </w:rPr>
        <w:t>Важно: не использовать отложенный процентный триггер. Текущий аудит показывает, что фиксированный P2z нарушает резерв уже при малом отклонении без пересмотра; корректная позиция — пересматриваемый график заказов и ранний gate по резерву.</w:t>
      </w:r>
    </w:p>
    <w:p>
      <w:pPr>
        <w:spacing w:after="80" w:line="252" w:lineRule="auto"/>
      </w:pPr>
      <w:r>
        <w:rPr>
          <w:rFonts w:ascii="Arial" w:hAnsi="Arial"/>
          <w:i w:val="0"/>
          <w:color w:val="555555"/>
          <w:sz w:val="20"/>
        </w:rPr>
        <w:t>Сверка цифр и формулировок: results/strategy/summary.md и results/stress/summary.md. Договорная логика: docs/contract_strategy.md.</w:t>
      </w:r>
    </w:p>
    <w:p>
      <w:pPr>
        <w:pStyle w:val="Heading1"/>
        <w:spacing w:before="180" w:after="80"/>
      </w:pPr>
      <w:r>
        <w:rPr>
          <w:rFonts w:ascii="Arial" w:hAnsi="Arial"/>
          <w:b/>
          <w:color w:val="1F4E79"/>
          <w:sz w:val="30"/>
        </w:rPr>
        <w:t>4. Договоры и граница ответственности</w:t>
      </w:r>
    </w:p>
    <w:p>
      <w:pPr>
        <w:spacing w:after="80" w:line="252" w:lineRule="auto"/>
      </w:pPr>
      <w:r>
        <w:rPr>
          <w:rFonts w:ascii="Arial" w:hAnsi="Arial"/>
          <w:i w:val="0"/>
          <w:sz w:val="20"/>
        </w:rPr>
        <w:t>В публичной части защиты договорную стратегию называть term sheet, а не юридически согласованным контрактом. Все предложенные пункты должны быть помечены TEAM_ASSUMPTION.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438"/>
            <w:vAlign w:val="top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Риск/точка</w:t>
            </w:r>
          </w:p>
        </w:tc>
        <w:tc>
          <w:tcPr>
            <w:tcW w:type="dxa" w:w="3969"/>
            <w:vAlign w:val="top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Предлагаемый механизм</w:t>
            </w:r>
          </w:p>
        </w:tc>
        <w:tc>
          <w:tcPr>
            <w:tcW w:type="dxa" w:w="2438"/>
            <w:vAlign w:val="top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Кто несёт остаток после механизма</w:t>
            </w:r>
          </w:p>
        </w:tc>
      </w:tr>
      <w:tr>
        <w:tc>
          <w:tcPr>
            <w:tcW w:type="dxa" w:w="2438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Низкий спрос и переполнение</w:t>
            </w:r>
          </w:p>
        </w:tc>
        <w:tc>
          <w:tcPr>
            <w:tcW w:type="dxa" w:w="3969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Скользящий прогноз; сначала сокращать E/B, затем объём сверх TOP; хранение ≤120 т.</w:t>
            </w:r>
          </w:p>
        </w:tc>
        <w:tc>
          <w:tcPr>
            <w:tcW w:type="dxa" w:w="2438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Оператор: ошибка прогноза, резерв и неизбежный TOP; поставщик: согласованный минимум.</w:t>
            </w:r>
          </w:p>
        </w:tc>
      </w:tr>
      <w:tr>
        <w:tc>
          <w:tcPr>
            <w:tcW w:type="dxa" w:w="243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Задержка Earth-New</w:t>
            </w:r>
          </w:p>
        </w:tc>
        <w:tc>
          <w:tcPr>
            <w:tcW w:type="dxa" w:w="3969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Этапы, независимая приёмка, замещение или ограниченная неустойка; gate по резерву.</w:t>
            </w:r>
          </w:p>
        </w:tc>
        <w:tc>
          <w:tcPr>
            <w:tcW w:type="dxa" w:w="243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Поставщик — вменяемая задержка до лимита; оператор/финансист — остаток и своевременный вызов B/E.</w:t>
            </w:r>
          </w:p>
        </w:tc>
      </w:tr>
      <w:tr>
        <w:tc>
          <w:tcPr>
            <w:tcW w:type="dxa" w:w="2438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Недопоставка/авария</w:t>
            </w:r>
          </w:p>
        </w:tc>
        <w:tc>
          <w:tcPr>
            <w:tcW w:type="dxa" w:w="3969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Платить за принятую массу; недоступную по вине поставщика мощность исключать из TOP; замещение.</w:t>
            </w:r>
          </w:p>
        </w:tc>
        <w:tc>
          <w:tcPr>
            <w:tcW w:type="dxa" w:w="2438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Поставщик — недоступность и замена до лимита; оператор/страховщик — force majeure и хвост сверх лимита.</w:t>
            </w:r>
          </w:p>
        </w:tc>
      </w:tr>
      <w:tr>
        <w:tc>
          <w:tcPr>
            <w:tcW w:type="dxa" w:w="243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Ценовой шок</w:t>
            </w:r>
          </w:p>
        </w:tc>
        <w:tc>
          <w:tcPr>
            <w:tcW w:type="dxa" w:w="3969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Проверяемый индекс, cap/collar, пересмотр за пределами коридора; условие не оценено в PV.</w:t>
            </w:r>
          </w:p>
        </w:tc>
        <w:tc>
          <w:tcPr>
            <w:tcW w:type="dxa" w:w="243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Оператор внутри коридора; поставщик ограниченный хвост; далее пересогласование.</w:t>
            </w:r>
          </w:p>
        </w:tc>
      </w:tr>
      <w:tr>
        <w:tc>
          <w:tcPr>
            <w:tcW w:type="dxa" w:w="2438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ZBO/Emergency</w:t>
            </w:r>
          </w:p>
        </w:tc>
        <w:tc>
          <w:tcPr>
            <w:tcW w:type="dxa" w:w="3969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Приёмочные ворота по ёмкости/потерям; SLA резерва и реакции; физический мост на ожидание.</w:t>
            </w:r>
          </w:p>
        </w:tc>
        <w:tc>
          <w:tcPr>
            <w:tcW w:type="dxa" w:w="2438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Поставщик — подтверждённый срыв до лимита; оператор — цена резерва, премия и физический запас.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rial" w:hAnsi="Arial"/>
          <w:i w:val="0"/>
          <w:color w:val="555555"/>
          <w:sz w:val="20"/>
        </w:rPr>
        <w:t>Ничего из этой таблицы не является новым числовым входом кейса. Если жюри спросит, где цена cap/collar или страховки, ответ: цифровой контур её не оценивал; это переговорная мера TEAM_ASSUMPTION, а P2z выигрывает раскрытый MCDA и без «бесплатной страховки».</w:t>
      </w:r>
    </w:p>
    <w:p>
      <w:pPr>
        <w:pStyle w:val="Heading1"/>
        <w:spacing w:before="180" w:after="80"/>
      </w:pPr>
      <w:r>
        <w:rPr>
          <w:rFonts w:ascii="Arial" w:hAnsi="Arial"/>
          <w:b/>
          <w:color w:val="1F4E79"/>
          <w:sz w:val="30"/>
        </w:rPr>
        <w:t>5. Последовательный план задач по ролям</w:t>
      </w:r>
    </w:p>
    <w:p>
      <w:pPr>
        <w:spacing w:after="80" w:line="252" w:lineRule="auto"/>
      </w:pPr>
      <w:r>
        <w:rPr>
          <w:rFonts w:ascii="Arial" w:hAnsi="Arial"/>
          <w:i w:val="0"/>
          <w:sz w:val="20"/>
        </w:rPr>
        <w:t>Выполнять сверху вниз. Следующий этап начинается только после сохранения evidence предыдущего; это превращает готовый проект в проверяемый release.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vAlign w:val="top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Этап и владелец</w:t>
            </w:r>
          </w:p>
        </w:tc>
        <w:tc>
          <w:tcPr>
            <w:tcW w:type="dxa" w:w="4535"/>
            <w:vAlign w:val="top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Действия</w:t>
            </w:r>
          </w:p>
        </w:tc>
        <w:tc>
          <w:tcPr>
            <w:tcW w:type="dxa" w:w="2041"/>
            <w:vAlign w:val="top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Gate / артефакт</w:t>
            </w:r>
          </w:p>
        </w:tc>
      </w:tr>
      <w:tr>
        <w:tc>
          <w:tcPr>
            <w:tcW w:type="dxa" w:w="2268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0. Release-owner / капитан</w:t>
            </w:r>
          </w:p>
        </w:tc>
        <w:tc>
          <w:tcPr>
            <w:tcW w:type="dxa" w:w="4535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Подтвердить состав 3–5, username GitVerse без @, права на загрузку; открыть кабинеты и определить финальные ссылки.</w:t>
            </w:r>
          </w:p>
        </w:tc>
        <w:tc>
          <w:tcPr>
            <w:tcW w:type="dxa" w:w="2041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Репозиторий и кабинет доступны; список ссылок записан в описание решения.</w:t>
            </w:r>
          </w:p>
        </w:tc>
      </w:tr>
      <w:tr>
        <w:tc>
          <w:tcPr>
            <w:tcW w:type="dxa" w:w="226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1. R4 — интерфейс и защита</w:t>
            </w:r>
          </w:p>
        </w:tc>
        <w:tc>
          <w:tcPr>
            <w:tcW w:type="dxa" w:w="4535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Запустить UI; записать 60–90-секундный маршрут BASE → обязательный стресс → сравнение → адаптация → экспорт; проверить PPTX 16:9/1920×1080/имя команды и self-demo.</w:t>
            </w:r>
          </w:p>
        </w:tc>
        <w:tc>
          <w:tcPr>
            <w:tcW w:type="dxa" w:w="2041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Рабочая запись, открывающийся PPTX/PDF, сценарий 4:00 + ответы 2:00.</w:t>
            </w:r>
          </w:p>
        </w:tc>
      </w:tr>
      <w:tr>
        <w:tc>
          <w:tcPr>
            <w:tcW w:type="dxa" w:w="2268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2. R1 — модель и воспроизводимость</w:t>
            </w:r>
          </w:p>
        </w:tc>
        <w:tc>
          <w:tcPr>
            <w:tcW w:type="dxa" w:w="4535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Установить dev-зависимости; выполнить pytest, контрольные кейсы, independent_recalc и проверки BASE/stress; сохранить логи.</w:t>
            </w:r>
          </w:p>
        </w:tc>
        <w:tc>
          <w:tcPr>
            <w:tcW w:type="dxa" w:w="2041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Чистый checkout воспроизводит результаты без ручной правки таблиц.</w:t>
            </w:r>
          </w:p>
        </w:tc>
      </w:tr>
      <w:tr>
        <w:tc>
          <w:tcPr>
            <w:tcW w:type="dxa" w:w="226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3. R3 — stress и риски</w:t>
            </w:r>
          </w:p>
        </w:tc>
        <w:tc>
          <w:tcPr>
            <w:tcW w:type="dxa" w:w="4535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Повторно подтвердить EXP-07–11/mandatory stress, risk matrix и остаточные риски; подготовить две фразы про адаптацию и guideline.</w:t>
            </w:r>
          </w:p>
        </w:tc>
        <w:tc>
          <w:tcPr>
            <w:tcW w:type="dxa" w:w="2041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Ссылки на results/stress и короткий ответ по каждому критичному риску.</w:t>
            </w:r>
          </w:p>
        </w:tc>
      </w:tr>
      <w:tr>
        <w:tc>
          <w:tcPr>
            <w:tcW w:type="dxa" w:w="2268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4. R2 — экономика и контракт</w:t>
            </w:r>
          </w:p>
        </w:tc>
        <w:tc>
          <w:tcPr>
            <w:tcW w:type="dxa" w:w="4535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Зафиксировать MCDA P2z, ответ P2z vs P3, 17–18 stakeholder/adaptation; проверить, что каждый пункт договора имеет TEAM_ASSUMPTION и владельца риска.</w:t>
            </w:r>
          </w:p>
        </w:tc>
        <w:tc>
          <w:tcPr>
            <w:tcW w:type="dxa" w:w="2041"/>
            <w:vAlign w:val="top"/>
            <w:shd w:fill="F3F6F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Одна карточка ответа для спикера; нет устаревшего процентного триггера.</w:t>
            </w:r>
          </w:p>
        </w:tc>
      </w:tr>
      <w:tr>
        <w:tc>
          <w:tcPr>
            <w:tcW w:type="dxa" w:w="226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5. Финальный release-owner</w:t>
            </w:r>
          </w:p>
        </w:tc>
        <w:tc>
          <w:tcPr>
            <w:tcW w:type="dxa" w:w="4535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Загрузить код/data/configs/docs/PDF/PPTX в GitVerse и личный кабинет; добавить `Artifact name - link`; открыть ссылки из режима жюри; сверить stop-code.</w:t>
            </w:r>
          </w:p>
        </w:tc>
        <w:tc>
          <w:tcPr>
            <w:tcW w:type="dxa" w:w="2041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 w:before="0"/>
            </w:pPr>
            <w:r/>
            <w:r>
              <w:rPr>
                <w:rFonts w:ascii="Arial" w:hAnsi="Arial"/>
                <w:b w:val="0"/>
                <w:sz w:val="17"/>
              </w:rPr>
              <w:t>Все ссылки открываются без приватной авторизации, файлы скачиваются, описание решения заполнено.</w:t>
            </w:r>
          </w:p>
        </w:tc>
      </w:tr>
    </w:tbl>
    <w:p>
      <w:pPr>
        <w:spacing w:after="20"/>
      </w:pPr>
    </w:p>
    <w:p>
      <w:pPr>
        <w:pStyle w:val="Heading1"/>
        <w:spacing w:before="180" w:after="80"/>
      </w:pPr>
      <w:r>
        <w:rPr>
          <w:rFonts w:ascii="Arial" w:hAnsi="Arial"/>
          <w:b/>
          <w:color w:val="1F4E79"/>
          <w:sz w:val="30"/>
        </w:rPr>
        <w:t>6. Что показать и что не утверждать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Показывать: изменяемые входы, пересчёт стоимости/сервиса/резерва, обязательный stress, адаптацию, экспорт и один договорный gate.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Говорить: «97%/99% в стрессе — guideline; наша политика отбора требует 100% сервиса, поэтому мы пересматриваем график заранее».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Говорить: «контрактные remedies и распределение риска — TEAM_ASSUMPTION; CASE_INPUT — только данные постановки и README».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Не говорить: «P2z безопасен без пересмотра», не называть стрессовый порог hard-ограничением и не откладывать реакцию до устаревшего процентного порога.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Не выдавать AI-протоколы kTalk за официальную стенограмму; при спорном вопросе ссылаться на запись и формулировать осторожно.</w:t>
      </w:r>
    </w:p>
    <w:p>
      <w:pPr>
        <w:pStyle w:val="Heading1"/>
        <w:spacing w:before="180" w:after="80"/>
      </w:pPr>
      <w:r>
        <w:rPr>
          <w:rFonts w:ascii="Arial" w:hAnsi="Arial"/>
          <w:b/>
          <w:color w:val="1F4E79"/>
          <w:sz w:val="30"/>
        </w:rPr>
        <w:t>7. Проверенные ссылки</w:t>
      </w:r>
    </w:p>
    <w:p>
      <w:pPr>
        <w:spacing w:after="80" w:line="252" w:lineRule="auto"/>
      </w:pPr>
      <w:r>
        <w:rPr>
          <w:rFonts w:ascii="Arial" w:hAnsi="Arial"/>
          <w:i w:val="0"/>
          <w:sz w:val="20"/>
        </w:rPr>
        <w:t>Записи экспертов: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Топливный космоконтур: https://hackrus.ktalk.ru/recordings/rURQw6Er094XFPoq6rZy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Топливный космоконтур №2: https://hackrus.ktalk.ru/recordings/1HWqiFdul7VkbfcsUBO5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Орбитальный риск: https://hackrus.ktalk.ru/recordings/JzldU9ltUSIwSaqongiI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Орбитальный риск №2: https://hackrus.ktalk.ru/recordings/dThTraUikm8cqL1fians</w:t>
      </w:r>
    </w:p>
    <w:p>
      <w:pPr>
        <w:spacing w:after="80" w:line="252" w:lineRule="auto"/>
      </w:pPr>
      <w:r>
        <w:rPr>
          <w:rFonts w:ascii="Arial" w:hAnsi="Arial"/>
          <w:i w:val="0"/>
          <w:sz w:val="20"/>
        </w:rPr>
        <w:t>Организационные ссылки: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Онлайн-трансляция открытия: https://vkvideo.ru/live-241127757_456239032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Карта площадки: https://yandex.ru/maps/-/CTxh4OM2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Поддержка доступа GitVerse: https://t.me/Stacky0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Организаторский reference repo из Дополнительно.pdf: https://github.com/SpaceEconomyPolicy/test_oil</w:t>
      </w:r>
    </w:p>
    <w:p>
      <w:pPr>
        <w:pStyle w:val="ListBullet"/>
        <w:spacing w:after="40" w:line="247" w:lineRule="auto"/>
      </w:pPr>
      <w:r>
        <w:rPr>
          <w:rFonts w:ascii="Arial" w:hAnsi="Arial"/>
          <w:sz w:val="20"/>
        </w:rPr>
        <w:t>Архив дополнительных материалов из Дополнительно.pdf: https://disk.360.yandex.ru/d/oMVoGQwhXvzzGg</w:t>
      </w:r>
    </w:p>
    <w:p>
      <w:pPr>
        <w:spacing w:after="80" w:line="252" w:lineRule="auto"/>
      </w:pPr>
      <w:r>
        <w:rPr>
          <w:rFonts w:ascii="Arial" w:hAnsi="Arial"/>
          <w:i w:val="0"/>
          <w:color w:val="555555"/>
          <w:sz w:val="20"/>
        </w:rPr>
        <w:t>Четыре старых ссылки входа в live-комнаты (`iol4wb7vb9dv`, `rtl7tpm96f1c`, `v7wx0jcfpgnq`, `mfdic6b797va`) классифицированы как временные join-ссылки; в качестве доказательства использованы durable recording-ссылки выше.</w:t>
      </w:r>
    </w:p>
    <w:p>
      <w:pPr>
        <w:spacing w:after="80" w:line="252" w:lineRule="auto"/>
      </w:pPr>
      <w:r>
        <w:rPr>
          <w:rFonts w:ascii="Arial" w:hAnsi="Arial"/>
          <w:i w:val="0"/>
          <w:color w:val="555555"/>
          <w:sz w:val="20"/>
        </w:rPr>
        <w:t>Внутренние файлы для финальной сверки: results/strategy/summary.md; results/stress/summary.md; docs/contract_strategy.md; docs/HANDOVER.md.</w:t>
      </w:r>
    </w:p>
    <w:p>
      <w:pPr>
        <w:pStyle w:val="Heading1"/>
        <w:spacing w:before="180" w:after="80"/>
      </w:pPr>
      <w:r>
        <w:rPr>
          <w:rFonts w:ascii="Arial" w:hAnsi="Arial"/>
          <w:b/>
          <w:color w:val="1F4E79"/>
          <w:sz w:val="30"/>
        </w:rPr>
        <w:t>Финальная формула для спикера</w:t>
      </w:r>
    </w:p>
    <w:p>
      <w:pPr>
        <w:spacing w:after="100" w:line="252" w:lineRule="auto"/>
      </w:pPr>
      <w:r>
        <w:rPr>
          <w:rFonts w:ascii="Arial" w:hAnsi="Arial"/>
          <w:i/>
          <w:sz w:val="20"/>
        </w:rPr>
        <w:t>Мы выбрали P2z не как самый дешёвый BASE-план, а как самый обратимый и устойчивый портфель среди допущенных вариантов: CAPEX ниже, адаптированный стресс дешевле, а MCDA устойчив во всех профилях. Мы не скрываем, что фиксированный план нарушает резерв; поэтому решение включает ранний пересмотр графика, контрактные ворота и явного владельца каждого остаточного риска.</w:t>
      </w:r>
    </w:p>
    <w:p>
      <w:pPr>
        <w:spacing w:after="0" w:line="252" w:lineRule="auto"/>
      </w:pPr>
      <w:r>
        <w:rPr>
          <w:rFonts w:ascii="Arial" w:hAnsi="Arial"/>
          <w:i w:val="0"/>
          <w:color w:val="666666"/>
          <w:sz w:val="20"/>
        </w:rPr>
        <w:t>Документ подготовлен как release-добавка. Он не заменяет management note, результаты расчётов, код или официальную постановку кейса.</w:t>
      </w:r>
    </w:p>
    <w:sectPr w:rsidR="00FC693F" w:rsidRPr="0006063C" w:rsidSect="00034616">
      <w:footerReference w:type="default" r:id="rId9"/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rial" w:hAnsi="Arial"/>
        <w:color w:val="646464"/>
        <w:sz w:val="16"/>
      </w:rPr>
      <w:t xml:space="preserve">TerraPlan | Telegram и экспертные записи | 19.09.2026 | стр.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