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1EA"/>
  <w:body>
    <w:p>
      <w:pPr>
        <w:spacing w:after="260" w:before="300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b/>
          <w:bCs/>
          <w:color w:val="6B6F76"/>
          <w:spacing w:val="50"/>
          <w:sz w:val="18"/>
          <w:szCs w:val="18"/>
        </w:rPr>
        <w:t xml:space="preserve">PRODUCT REQUIREMENTS DOCUMENT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Fraunces" w:cs="Fraunces" w:eastAsia="Fraunces" w:hAnsi="Fraunces"/>
          <w:b/>
          <w:bCs/>
          <w:color w:val="1A1D21"/>
          <w:sz w:val="68"/>
          <w:szCs w:val="68"/>
        </w:rPr>
        <w:t xml:space="preserve">AAA Insights</w:t>
      </w:r>
    </w:p>
    <w:p>
      <w:pPr>
        <w:spacing w:after="30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Collect surveys, reviews, ratings, and comments — then let AI turn them into customer, competitive, and relationship insight.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B6F76"/>
          <w:sz w:val="18"/>
          <w:szCs w:val="18"/>
        </w:rPr>
        <w:t xml:space="preserve">Version:      </w:t>
      </w:r>
      <w:r>
        <w:rPr>
          <w:rFonts w:ascii="JetBrains Mono" w:cs="JetBrains Mono" w:eastAsia="JetBrains Mono" w:hAnsi="JetBrains Mono"/>
          <w:color w:val="1A1D21"/>
          <w:sz w:val="18"/>
          <w:szCs w:val="18"/>
        </w:rPr>
        <w:t xml:space="preserve">v5 — Draft (Closed-Loop / Service Recovery pillar added)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B6F76"/>
          <w:sz w:val="18"/>
          <w:szCs w:val="18"/>
        </w:rPr>
        <w:t xml:space="preserve">Date:         </w:t>
      </w:r>
      <w:r>
        <w:rPr>
          <w:rFonts w:ascii="JetBrains Mono" w:cs="JetBrains Mono" w:eastAsia="JetBrains Mono" w:hAnsi="JetBrains Mono"/>
          <w:color w:val="1A1D21"/>
          <w:sz w:val="18"/>
          <w:szCs w:val="18"/>
        </w:rPr>
        <w:t xml:space="preserve">2026-07-27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B6F76"/>
          <w:sz w:val="18"/>
          <w:szCs w:val="18"/>
        </w:rPr>
        <w:t xml:space="preserve">Prepared by:  </w:t>
      </w:r>
      <w:r>
        <w:rPr>
          <w:rFonts w:ascii="JetBrains Mono" w:cs="JetBrains Mono" w:eastAsia="JetBrains Mono" w:hAnsi="JetBrains Mono"/>
          <w:color w:val="1A1D21"/>
          <w:sz w:val="18"/>
          <w:szCs w:val="18"/>
        </w:rPr>
        <w:t xml:space="preserve">Active AI Advisors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B6F76"/>
          <w:sz w:val="18"/>
          <w:szCs w:val="18"/>
        </w:rPr>
        <w:t xml:space="preserve">Prepared for: </w:t>
      </w:r>
      <w:r>
        <w:rPr>
          <w:rFonts w:ascii="JetBrains Mono" w:cs="JetBrains Mono" w:eastAsia="JetBrains Mono" w:hAnsi="JetBrains Mono"/>
          <w:color w:val="1A1D21"/>
          <w:sz w:val="18"/>
          <w:szCs w:val="18"/>
        </w:rPr>
        <w:t xml:space="preserve">Paul Jamieson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6B6F76"/>
          <w:sz w:val="18"/>
          <w:szCs w:val="18"/>
        </w:rPr>
        <w:t xml:space="preserve">Methodology:  </w:t>
      </w:r>
      <w:r>
        <w:rPr>
          <w:rFonts w:ascii="JetBrains Mono" w:cs="JetBrains Mono" w:eastAsia="JetBrains Mono" w:hAnsi="JetBrains Mono"/>
          <w:color w:val="1A1D21"/>
          <w:sz w:val="18"/>
          <w:szCs w:val="18"/>
        </w:rPr>
        <w:t xml:space="preserve">Grounded AI™ — Phase 1 (SPECIFY)</w:t>
      </w:r>
    </w:p>
    <w:p>
      <w:pPr>
        <w:pBdr>
          <w:top w:val="single" w:color="E5E2DA" w:sz="8" w:space="6"/>
        </w:pBdr>
        <w:spacing w:before="360"/>
      </w:pPr>
      <w:r>
        <w:rPr>
          <w:rFonts w:ascii="Inter" w:cs="Inter" w:eastAsia="Inter" w:hAnsi="Inter"/>
          <w:color w:val="6B6F76"/>
          <w:sz w:val="18"/>
          <w:szCs w:val="18"/>
        </w:rPr>
        <w:t xml:space="preserve">Applied AI for operators.</w:t>
      </w:r>
      <w:r>
        <w:rPr>
          <w:rFonts w:ascii="Inter" w:cs="Inter" w:eastAsia="Inter" w:hAnsi="Inter"/>
          <w:color w:val="6B6F76"/>
          <w:sz w:val="18"/>
          <w:szCs w:val="18"/>
        </w:rPr>
        <w:t xml:space="preserve">   ·   activeaiadvisors.com   ·   paul@activeaiadvisors.com</w:t>
      </w:r>
    </w:p>
    <w:p>
      <w:r>
        <w:br w:type="page"/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WHAT CHANGED IN V5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auto" w:sz="0"/>
          <w:left w:val="single" w:color="D9763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5E2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1D21"/>
                <w:sz w:val="20"/>
                <w:szCs w:val="20"/>
              </w:rPr>
              <w:t xml:space="preserve">Revised 2026-07-27 — Closed-Loop / Service Recovery pillar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Added the shift from measuring sentiment to actively managing it: opt-in respondent contactability, signal-driven triggers, and a first-class RecoveryCase with a status lifecycle.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Hand-off to the tools a company already uses (helpdesk / CRM / email) via connectors, plus recovery measurement — did Brand Love / Trust actually rebuild? — and reinforcement plays for satisfied customers.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Delivered as posture #2 (orchestrate + measure), architected for #3 (native workflow) — the RecoveryCase and its measurement are owned internally, so #3 is an evolution, not a rewrite.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Grounded in the service-recovery paradox: a well-resolved complaint can leave a customer more loyal than if nothing had gone wrong.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  (v4 resolved all 15 open questions; v3 added Brand Trust; v2 added the unified-customer view, competitors, lawful collection, Brand Love, and the data model.)</w:t>
            </w:r>
          </w:p>
        </w:tc>
      </w:tr>
    </w:tbl>
    <w:p>
      <w:r>
        <w:br w:type="page"/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CONTENTS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01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Purpose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02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Target users &amp; buyer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03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Product principles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04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Inputs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05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Outputs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06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Requirements (behaviors)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07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Invariants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08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Edge cases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09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Exclusions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10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Data, privacy &amp; security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11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Non-functional requirements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12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Data model (logical)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13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Scope &amp; phased roadmap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14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Decisions (resolved)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pPr>
        <w:spacing w:after="70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—   </w:t>
      </w:r>
      <w:r>
        <w:rPr>
          <w:rFonts w:ascii="Inter" w:cs="Inter" w:eastAsia="Inter" w:hAnsi="Inter"/>
          <w:color w:val="1A1D21"/>
          <w:sz w:val="22"/>
          <w:szCs w:val="22"/>
        </w:rPr>
        <w:t xml:space="preserve">Approval</w:t>
      </w:r>
      <w:ptab w:alignment="right" w:relativeTo="margin" w:leader="dot"/>
      <w:r>
        <w:rPr>
          <w:rFonts w:ascii="Inter" w:cs="Inter" w:eastAsia="Inter" w:hAnsi="Inter"/>
          <w:color w:val="6B6F76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01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Purpose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What the software is for — and who it serves.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02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Target users &amp; buyer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Two audiences, one product: credible analysis for the business, effortless response for the customer.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User role</w:t>
            </w:r>
          </w:p>
        </w:tc>
        <w:tc>
          <w:tcPr>
            <w:tcW w:type="dxa" w:w="63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What they need from AAA Insights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Owner / founder / GM (buyer)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 fast, trustworthy read on what customers think, how the brand compares to rivals, and what to fix first.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Marketing / brand lead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Themes, sentiment, brand-love, trust, quotes, and competitive position to guide messaging and positioning.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CX / customer-success manager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Early warning on dissatisfaction, eroding trust, drivers of churn, and a way to close the loop.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Prioritized signal on what customers want changed, backed by evidence and volume.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Respondent (the customer)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 short, respectful, mobile-friendly way to give feedback — including a conversational option that feels heard.</w:t>
            </w:r>
          </w:p>
        </w:tc>
      </w:tr>
    </w:tbl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03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Product principles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Eight commitments that shape every design decision.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04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Inputs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What the system receives.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Survey definition — built by an admin or AI-generated. Question types include single-select, multi-select, rating/scale, open text, the Brand Love scale (Love / Like / Ambivalence / Dislike / Hate), and the Trust battery (a single-item trust rating and/or a short driver battery: reliability, integrity, benevolence, security/privacy).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Survey response — ratings (incl. Brand Love and Trust), multiple-choice, and open-text comments. May be partial.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Conversational response — free-text turns in an AI-led adaptive interview, as a transcript.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Imported feedback — external reviews/ratings/comments for the company’s own brand via CSV.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Respondent metadata — optional, non-identifying attributes (segment, channel, product, region, language).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Distribution request — publish a survey via link, email list, or widget.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Analysis query — a natural-language question asked of the feedback data.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Competitor configuration — the competitor brands to track: names, aliases, products, public sources.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Externally-collected feedback — reviews/ratings/comments about the own brand and tracked competitors from public web pages, review-site APIs, or a licensed provider (source URL, capture date, brand, rating, text).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I-10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Respondent contact &amp; consent — optional, opt-in contact details a respondent provides so the company may follow up (e.g., email). Anonymous-by-default is preserved (INV-5, INV-13).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I-11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Recovery rules &amp; routing config — admin-defined triggers (which signals open a case) and routing (which owner/queue or external tool a case is handed to).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05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Outputs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What the system produces.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Collected response store — every response persisted under a common schema, attributable to source, brand, and campaign.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Theme analysis — AI-generated themes with counts, quotes, and trend; filterable by brand.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Sentiment analysis — positive/neutral/negative with intensity, aggregated by theme, segment, source, brand, and time.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Ratings &amp; metrics — average ratings, distribution, response/completion rates, NPS/CSAT.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Insight report — narrative of what’s happening, why, and what to do, with ranked actions; can include the competitive picture and the Love × Trust read. Exportable.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Answer to an analysis query — grounded strictly in the account’s own data, with citations.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Alerts — notifications when a monitored signal crosses a threshold.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Respondent-facing survey — the rendered survey or conversational interview.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Competitive benchmark — own brand vs. competitors on ratings, Brand Love, Trust, sentiment, and themes over a chosen period.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Per-competitor analysis — for a selected competitor, an aggregate view with traceability.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Brand Love read — the distribution across Love / Like / Ambivalence / Dislike / Hate and a Brand Love Index (share of Love+Like minus share of Dislike+Hate), per company and competitor, over time.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Trust read — a Trust Index (net trust) plus a driver breakdown (reliability, integrity, benevolence, security/privacy), per company and competitor, over time.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O-13 — Love × Trust segmentation</w:t>
      </w:r>
    </w:p>
    <w:p>
      <w:pPr>
        <w:spacing w:after="140" w:line="300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Respondents and segments are placed in one of four quadrants, each with a recommended action: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Quadrant</w:t>
            </w:r>
          </w:p>
        </w:tc>
        <w:tc>
          <w:tcPr>
            <w:tcW w:type="dxa" w:w="69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 and recommended action</w:t>
            </w:r>
          </w:p>
        </w:tc>
      </w:tr>
      <w:tr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Devoted</w:t>
            </w:r>
          </w:p>
        </w:tc>
        <w:tc>
          <w:tcPr>
            <w:tcW w:type="dxa" w:w="6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High love / high trust — your advocates. Protect and activate them.</w:t>
            </w:r>
          </w:p>
        </w:tc>
      </w:tr>
      <w:tr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Infatuated (fragile)</w:t>
            </w:r>
          </w:p>
        </w:tc>
        <w:tc>
          <w:tcPr>
            <w:tcW w:type="dxa" w:w="6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High love / low trust — passion without a safety net. One stumble triggers churn; shore up reliability and transparency.</w:t>
            </w:r>
          </w:p>
        </w:tc>
      </w:tr>
      <w:tr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Dependable</w:t>
            </w:r>
          </w:p>
        </w:tc>
        <w:tc>
          <w:tcPr>
            <w:tcW w:type="dxa" w:w="6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Low love / high trust — loyal by reliability, not emotion. Steady; deepen the relationship.</w:t>
            </w:r>
          </w:p>
        </w:tc>
      </w:tr>
      <w:tr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At-risk</w:t>
            </w:r>
          </w:p>
        </w:tc>
        <w:tc>
          <w:tcPr>
            <w:tcW w:type="dxa" w:w="6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Low love / low trust — churn risk and detractors. Intervene or triage.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Recovery case — a tracked case opened from a dissatisfaction signal: the linked feedback, contact (if consented), owner, status (open → in-progress → resolved), and resolution notes.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Recovery metrics — recovery rate, time-to-resolve, and the change in Brand Love / Trust before vs. after resolution (the service-recovery outcome).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O-16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Reinforcement prompts — for satisfied/loved customers, opt-in prompts to review, refer, or advocate.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06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Requirements (behaviors)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Each is a single, testable behavior. IDs are cited by the Phase-3 test suite.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Survey creation &amp; distribution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Create a survey with at least: single-select, multi-select, rating/scale, open text, the Brand Love scale, and the Trust battery (single-item and/or driver items).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Generate a draft survey from a plain-language objective; editable before sending.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Conditional logic: a question or branch is shown or skipped based on a previous answer.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Distribute by (a) link, (b) email list, and (c) embeddable widget. (Email is Phase-1; link + widget are MVP.)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 respondent completes a survey on mobile and desktop without creating an account.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Partial responses are recorded and marked incomplete, not discarded.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Conversational (AI-led) surveys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Enable a conversational mode where an AI interviewer asks questions and relevant follow-up probes.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interviewer stays on the admin-defined objective and does not ask outside the topic scope.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interviewer ends after a configurable max number of exchanges or when the objective is met.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Every transcript is stored and analyzable by the same engine as structured responses.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Unified feedback hub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Import external feedback via CSV, mapping columns to the unified schema (brand, source, date, rating, text, segment).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All feedback is queryable together, filterable by brand, source, campaign, date, segment, rating, sentiment.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De-duplicate obviously identical items (same source + text + timestamp).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Brand Love, Trust &amp; metrics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Produce theme analysis with counts and representative quotes for any filtered set.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Assign sentiment to each open-text response and aggregate across chosen dimensions.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For every theme, sentiment aggregate, Brand Love read, and Trust read, open the exact underlying responses (traceability — INV-3).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Record Brand Love on the five-point scale, normalize to an ordinal, and compute the Brand Love distribution and Index (O-11) — including inferring a read from open text where no direct rating exists, labeled inferred (INV-4).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Support a Trust question type — a single-item trust rating and an optional multi-item driver battery (reliability, integrity, benevolence, security/privacy).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Record trust; compute a Trust Index and per-driver breakdown (O-12) for any filtered set — including inferring a trust read from open text where no direct rating exists, labeled inferred (INV-4), the same way Brand Love is inferred (R-30).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Produce the Love × Trust segmentation (O-13) with a recommended action per quadrant, available in the insight report (O-5) and the competitive benchmark (O-9).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Unified customer &amp; competitive insight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Produce an aggregate, cross-source "unified customer" view WITHOUT building or requiring an identity-linked individual profile (INV-9).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Define and manage a set of competitor brands to track (I-8).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Collect publicly available reviews/ratings/comments about the own brand and tracked competitors from configured sources, subject to §10 (DPS-7) and a legal-review gate before live collection is enabled.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Benchmark the company’s brand vs. competitors on ratings, Brand Love, Trust, sentiment, and themes over a chosen period (O-9).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For a selected competitor, produce per-competitor aggregate analysis (O-10) with traceability.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All brand/competitor analysis is filterable by brand, source, date, segment, and sentiment, and every competitor figure links to its source items.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Closed-loop &amp; service recovery  (v5 — posture #2, architected for #3)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Let a respondent opt in to be contacted for follow-up (e.g., leave an email); contact is never required and is stored under consent (INV-5, INV-13, DPS-10).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Configurable triggers — a dissatisfaction signal (Dislike/Hate, low Trust, At-risk quadrant, negative-sentiment spike, rating below a floor) opens a RecoveryCase in near-real-time.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 RecoveryCase carries the linked feedback, contact (if consented), an owner, a status lifecycle (open → in-progress → resolved), and resolution notes. The case and its lifecycle are owned internally — this is what makes native workflow (#3) an evolution, not a rewrite.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Hand off / integrate — dispatch a case or action to an external tool the company already uses (helpdesk, CRM, email) via a connector; status changes round-trip back to the RecoveryCase.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Measure recovery — after resolution, re-measure sentiment / Brand Love / Trust for that customer or segment and compute a recovery rate and time-to-resolve (O-15).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R-39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Reinforce the satisfied — for Devoted/loved customers, generate opt-in prompts to review, refer, or advocate (O-16).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R-40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Prioritize open dissatisfaction cases by predicted value/risk (Love × Trust quadrant, trust drivers, volume) so the highest-leverage recoveries surface first.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AI analysis, accounts, roles, export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Ask a natural-language question and receive an answer grounded only in the account’s own data, with citations.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Generate an insight report: narrative, metrics, top themes, sentiment, Brand Love, Trust and the Love × Trust read, competitive comparison, quotes, ranked actions.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R-19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Compute response rate, completion rate, average rating, rating distribution, and NPS/CSAT when questions qualify.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Configure an alert on a signal (negative-sentiment share, average rating, Brand Love Index, Trust Index, new theme) with notification when crossed.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At least two roles: Owner/Admin (account, users, billing) and Member (builds surveys, views analysis).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Export any analysis view and the insight report (CSV for raw data; PDF and/or slides).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R-23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Delete a survey, campaign, or response, and export or delete all account data.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07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Invariants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Conditions that must hold in every state of the system.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Every response is attributable to exactly one source AND one brand. No response exists without a known origin.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Counts are never negative and never exceed responses collected; percentages come from the current filter, each response counted once per dimension.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Every theme, aggregate, Brand Love read, Trust read, insight, recommendation, and query answer is traceable to its underlying responses. No AI claim without a path to its verbatim data.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system never shows a quote or statistic absent from the data, and labels any value it inferred (e.g., Brand Love or Trust from text) as inferred, not stated.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 respondent can complete a survey without providing identifying information.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Each account’s data is isolated; AI analysis is grounded only in that account’s data.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Deleting a response, campaign, or account removes it from all future analysis; deleted data never reappears.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Respondent PII is stored securely and never written to logs or AI outputs unless the admin opts 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"unified customer" view is always aggregate; no identity-resolved profile of any individual.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INV-10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Externally-collected data is only ever publicly available and lawfully obtained; no bypassing authentication, paywalls, or technical controls; provenance kept on every item.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INV-11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Personal data in public reviews is minimized, never used to build a profile, and excluded from AI outputs by default.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INV-12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Brand Love and Brand Trust are measured and reported as DISTINCT indicators. The system never collapses them into a single score, and never presents Trust as satisfaction (or vice versa).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INV-13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Follow-up is consent-gated. The system contacts a respondent only when they have opted in; anonymous-by-default is preserved (INV-5). Recovery-case data and contact details fall under the same PII protections (INV-8, DPS-10), and a respondent can withdraw consent at any time.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08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Edge cases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The unusual conditions the system must survive — defined now, tested in Phase 3.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Empty or tiny sample — states the sample is too small for reliable findings (themes, sentiment, Brand Love, or Trust) rather than fabricating confidence.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Abandoned survey — the partial is retained, counted as incomplete, flagged in analysis.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Junk / abusive open text — captured, flagged, excluded from analysis by default, reviewable.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Non-English / mixed-language — the MVP is English-only (D-4); non-English responses are detected, tagged, and set aside with an honest note until multilingual analysis lands in Phase 2.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Malformed CSV import — rejected or partially accepted with a per-row error report.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Duplicate / repeated submissions — de-duplication plus link-level controls.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Conversational interview off the rails — stays in scope, ignores injected instructions, ends gracefully.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Ambiguous analysis query — answers only what the data supports; states what it cannot determine.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Sudden volume spike — ingestion and analysis stay correct; views may lag but never lose or double-count.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Sensitive disclosure — PII/safety concerns stored under INV-8/INV-11, surfaced to the admin, not broadcast.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Concurrent editing — two admins editing one survey do not silently overwrite each other.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Source blocks or rate-limits collection — collection backs off, records the gap, never fabricates missing items.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Competitor identity ambiguity — low-confidence matches flagged and excluded from headline figures until confirmed.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Sparse competitor data — too few public reviews shows "insufficient data," not a misleading number.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Mixed rating scales — 5-star, 10-point, thumbs, Brand Love, Trust each normalized to the common scale; un-mappable ratings stored raw and excluded from cross-source averages.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Category-relative trust — the Trust Index is read relative to category and prior period, not as an absolute (a bank’s trust bar differs from a snack brand’s). Cross-category trust comparisons are flagged as context-dependent.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Consent withdrawn — a respondent who opted in later opts out; their contact is purged and any open case is closed/anonymized, honoring the withdrawal (INV-13).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E-18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Integration/sync failure — if the external helpdesk/CRM is unreachable, the RecoveryCase stays authoritative internally, the gap is recorded, and it re-syncs when the tool returns — never silently dropping a case.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E-19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Unowned / stale case — a case with no owner, or one past its follow-up window, is surfaced and escalated rather than left to rot.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E-20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(v5) Recovery sample too small — where too few responses exist to re-measure reliably, recovery is reported as "not yet measurable," not a fabricated improvement (E-1 applies).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09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Exclusions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Explicitly out of scope for v1 — the unwritten assumptions, made written.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Not a CRM or customer-record system; does not build identity-resolved individual profiles.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(v5, revised) v1 does NOT ship a full native case-management workbench (agent queues, SLAs, macros) — that is posture #3, an explicit later horizon. v1 delivers posture #2: opening and owning a RecoveryCase internally and executing through the company’s existing tools via integrations, plus recovery measurement.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Collection is limited to publicly available content obtained lawfully via APIs, licensed providers, or public web pages under the DPS-7 guardrails. No private/authenticated content, bypassing logins/paywalls/protections, or collecting data a source’s terms prohibit.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No prediction of future business outcomes (churn, revenue) in v1.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No public respondent panel / audience marketplace.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Does not replace human research judgment; it is decision support with evidence attached.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X-7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Does not attempt to re-identify individuals or merge scraped personal data into any profile.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10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Data, privacy &amp; security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The handling bar this product is held to — enforced in build and verification.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system is a data processor for the account’s feedback; the company is the controller.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Respondent PII is minimized, encrypted at rest and in transit, access-controlled by role, and excluded from logs and AI outputs by default.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Data-subject requests are supported: export and deletion on request.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AI processing is isolated to the account; account data is not used to train shared/base models without opt-in.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 configurable retention period is supported for both first-party and collected data.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The full security checklist is applied during build and verification. (Security/privacy is also a Trust driver measured in O-12 — how safe customers feel is part of the trust picture.)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DPS-7 — Web / data-collection compliance</w:t>
      </w:r>
    </w:p>
    <w:tbl>
      <w:tblPr>
        <w:tblW w:type="dxa" w:w="9360"/>
        <w:tblBorders>
          <w:top w:val="none" w:color="auto" w:sz="0"/>
          <w:left w:val="single" w:color="D9763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5E2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1D21"/>
                <w:sz w:val="20"/>
                <w:szCs w:val="20"/>
              </w:rPr>
              <w:t xml:space="preserve">Lawful and ethical by construction — with a legal-review gate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Collect only publicly accessible content. Respect robots.txt and reasonable rate limits.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Never bypass authentication, paywalls, or technical protections. Prefer official APIs and licensed providers over page collection.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Keep provenance (source, URL, capture date) on every item. Minimize and never profile personal data in reviews (INV-11). Honor source-specific terms.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The specific sources and methods are subject to the client’s legal review and written sign-off BEFORE live collection is enabled — a gate, not a default.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Active AI Advisors is not providing legal advice; the client should confirm the approach with counsel.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DPS-8  </w:t>
      </w:r>
      <w:r>
        <w:rPr>
          <w:rFonts w:ascii="Inter" w:cs="Inter" w:eastAsia="Inter" w:hAnsi="Inter"/>
          <w:i/>
          <w:iCs/>
          <w:color w:val="1A1D21"/>
          <w:sz w:val="21"/>
          <w:szCs w:val="21"/>
        </w:rPr>
        <w:t xml:space="preserve">(v4)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v1 targets </w:t>
      </w: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GDPR and CCPA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compliance; SOC 2 is a roadmap item for later enterprise sales.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DPS-9  </w:t>
      </w:r>
      <w:r>
        <w:rPr>
          <w:rFonts w:ascii="Inter" w:cs="Inter" w:eastAsia="Inter" w:hAnsi="Inter"/>
          <w:i/>
          <w:iCs/>
          <w:color w:val="1A1D21"/>
          <w:sz w:val="21"/>
          <w:szCs w:val="21"/>
        </w:rPr>
        <w:t xml:space="preserve">(v4)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AI model/hosting is </w:t>
      </w: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provider-abstracted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— best-available models, US data residency available, no single-vendor lock-in; account data never trains shared models (DPS-4).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DPS-10  </w:t>
      </w:r>
      <w:r>
        <w:rPr>
          <w:rFonts w:ascii="Inter" w:cs="Inter" w:eastAsia="Inter" w:hAnsi="Inter"/>
          <w:i/>
          <w:iCs/>
          <w:color w:val="1A1D21"/>
          <w:sz w:val="21"/>
          <w:szCs w:val="21"/>
        </w:rPr>
        <w:t xml:space="preserve">(v5) </w:t>
      </w: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Contact &amp; consent handling.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Respondent contact details are collected only on opt-in, minimized, encrypted, access-controlled, used solely for the follow-up the respondent consented to, and deletable on withdrawal (INV-13). Consent scope and lawful basis are tracked per contact (GDPR/CCPA).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11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Non-functional requirements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Speed, reliability, access, and honesty — stated as testable budgets.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NFR-1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Performance — a survey page loads under 2 s on mobile; a submission acknowledges under 1 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NFR-2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Analysis latency — up to the MVP size (~5,000 items, Q-6) returns within a stated budget; larger sets run as background jobs with progress.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NFR-3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Availability — the collection endpoint targets a stated uptime; ingestion is durable even if analysis is degraded.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NFR-4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Accessibility — respondent-facing surveys meet WCAG 2.1 AA.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NFR-5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Scalability path — grows from SMB volumes toward larger sets without a rewrite.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NFR-6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Explainability — every AI output carries the data behind it and a confidence signal, including inferred Brand Love and Trust reads.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JetBrains Mono" w:cs="JetBrains Mono" w:eastAsia="JetBrains Mono" w:hAnsi="JetBrains Mono"/>
          <w:b/>
          <w:bCs/>
          <w:color w:val="D9763A"/>
          <w:sz w:val="20"/>
          <w:szCs w:val="20"/>
        </w:rPr>
        <w:t xml:space="preserve">NFR-7  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Collection freshness &amp; politeness — collected data shows a freshness/coverage indicator; collection runs at a polite, configurable rate and records gaps.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12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Data model (logical)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The records the system keeps and how they relate. Physical schema is an Architecture-phase decision; this defines what is stored, not how.</w:t>
      </w:r>
    </w:p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Brand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a company or competitor whose feedback is analyzed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brand_id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Unique id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name / aliases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Display name and alternates used to match reviews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type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own or competitor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products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Optional product / line names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tracked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Whether active collection is enabled</w:t>
            </w:r>
          </w:p>
        </w:tc>
      </w:tr>
    </w:tbl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Source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where a piece of feedback came from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source_id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Unique id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type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survey · conversational · import_csv · web · api · provider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name / url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Human name and, for web/API, the location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terms_note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Compliance note / permitted-use flag (DPS-7)</w:t>
            </w:r>
          </w:p>
        </w:tc>
      </w:tr>
    </w:tbl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FeedbackRecord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the core record — one rating and/or comment about one brand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record_id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Unique id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account_id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Owning tenant (INV-6)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brand_id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Which brand this is about — own or competitor (INV-1)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source_id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Where it came from (INV-1)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captured_at / date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When the feedback was given or collected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rating_raw / rating_scale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Original rating and its scale (5_star, 10_pt, nps, csat, brand_love, trust, …)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rating_norm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Rating normalized to a common 1–5 ordinal (E-15)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brand_love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Love / Like / Ambivalence / Dislike / Hate, if applicable — ordinal 5→1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trust  (v3)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Trust rating if directly asked — normalized 1–5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trust_drivers  (v3)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Optional per-driver scores/tags: reliability, integrity, benevolence, security_privacy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comment_text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open-text comment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language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Detected language (E-4)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segment / region / channel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Optional non-identifying metadata (I-5)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is_complete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Complete vs. partial (R-6)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flags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junk · abuse · safety · low_confidence (E-3, E-13)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provenance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source_url + capture_date, or import_batch (INV-10)</w:t>
            </w:r>
          </w:p>
        </w:tc>
      </w:tr>
    </w:tbl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Sentiment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derived, one per record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record_id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record it describes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polarity / intensity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positive / neutral / negative, with strength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model_version / confidence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What produced it and how sure (NFR-6)</w:t>
            </w:r>
          </w:p>
        </w:tc>
      </w:tr>
    </w:tbl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Trust  (v3)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derived, one per record where trust is present or inferred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record_id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record it describes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trust_score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Normalized trust value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drivers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reliability / integrity / benevolence / security_privacy sub-scores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model_version / confidence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What produced it and how sure (NFR-6)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inferred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True if derived from open text rather than a direct rating (INV-4)</w:t>
            </w:r>
          </w:p>
        </w:tc>
      </w:tr>
    </w:tbl>
    <w:p>
      <w:pPr>
        <w:spacing w:after="140" w:line="300"/>
      </w:pP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Contact (v5)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— an opt-in contact for a respondent (INV-13): contact_id, respondent_ref, channel/value (email), consent_scope, consent_at, withdrawn_at; kept separate and under DPS-10.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Trigger / Rule (v5)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— signal → action: rule_id, condition (brand_love ≤ Dislike, trust_index &lt; x, quadrant = At-risk, rating &lt; floor), action (open case, route to connector/owner), enabled.</w:t>
      </w:r>
    </w:p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RecoveryCase  (v5)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the internally-owned loop record (design-for-#3)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case_id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Unique id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account_id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Owning tenant (INV-6)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record_ids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feedback that opened / relates to the case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contact_id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Linked opt-in contact, if any (INV-13)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owner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Assigned owner / queue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status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open · in_progress · resolved · closed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external_ref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linked item in the company’s helpdesk/CRM, if integrated (R-37)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opened_at / resolved_at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Timestamps → time-to-resolve (O-15)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recovery_delta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Change in Brand Love / Trust before vs. after resolution (O-15)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What was done</w:t>
            </w:r>
          </w:p>
        </w:tc>
      </w:tr>
    </w:tbl>
    <w:p>
      <w:pPr>
        <w:spacing w:after="140" w:line="300"/>
      </w:pPr>
      <w:r>
        <w:rPr>
          <w:rFonts w:ascii="Inter" w:cs="Inter" w:eastAsia="Inter" w:hAnsi="Inter"/>
          <w:b/>
          <w:bCs/>
          <w:color w:val="1A1D21"/>
          <w:sz w:val="21"/>
          <w:szCs w:val="21"/>
        </w:rPr>
        <w:t xml:space="preserve">Connector (v5)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— an integration to an external tool: connector_id, type (helpdesk / CRM / email), config / credentials-ref (secrets kept out of the model — DPS-6), scope.</w:t>
      </w:r>
    </w:p>
    <w:p>
      <w:pPr>
        <w:spacing w:after="40" w:before="22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MetricSnapshot</w:t>
      </w:r>
      <w:r>
        <w:rPr>
          <w:rFonts w:ascii="Inter" w:cs="Inter" w:eastAsia="Inter" w:hAnsi="Inter"/>
          <w:i/>
          <w:iCs/>
          <w:color w:val="6B6F76"/>
          <w:sz w:val="20"/>
          <w:szCs w:val="20"/>
        </w:rPr>
        <w:t xml:space="preserve">  — a computed rollup for a brand over a period and filter (O-4, O-9, O-11, O-12, O-15)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brand_id / period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Brand and time window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metric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avg_rating · nps · csat · brand_love_index · trust_index (v3) · trust_&lt;driver&gt; (v3) · recovery_rate (v5) · avg_time_to_resolve (v5) · neg_sentiment_share · response_rate · completion_rate</w:t>
            </w:r>
          </w:p>
        </w:tc>
      </w:tr>
      <w:tr>
        <w:tc>
          <w:tcPr>
            <w:tcW w:type="dxa" w:w="27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JetBrains Mono" w:cs="JetBrains Mono" w:eastAsia="JetBrains Mono" w:hAnsi="JetBrains Mono"/>
                <w:color w:val="1A1D21"/>
                <w:sz w:val="19"/>
                <w:szCs w:val="19"/>
              </w:rPr>
              <w:t xml:space="preserve">value / filter_context</w:t>
            </w:r>
          </w:p>
        </w:tc>
        <w:tc>
          <w:tcPr>
            <w:tcW w:type="dxa" w:w="66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The number and the filter it was computed under (INV-2)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 w:color="auto" w:sz="0"/>
          <w:left w:val="single" w:color="D9763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5E2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1D21"/>
                <w:sz w:val="20"/>
                <w:szCs w:val="20"/>
              </w:rPr>
              <w:t xml:space="preserve">Love × Trust segment (v3)  &amp;  the "unified customer" view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Love × Trust segment — computed from the Brand Love and Trust metrics for a brand/segment; each respondent or segment falls in one quadrant (Devoted / Infatuated / Dependable / At-risk) with counts and shares (O-13).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Unified customer view — there is deliberately NO individual-Customer entity. It aggregates FeedbackRecords for an own brand across all sources and time, grouped by Segment — a population read, not a person read (R-26, INV-9).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Closed loop (v5) — the RecoveryCase, its status lifecycle, and its recovery measurement live in AAA Insights’ own data model even when the workflow runs in an external tool; that is what makes native workflow (#3) an additive evolution, not a rewrite.</w:t>
            </w:r>
          </w:p>
        </w:tc>
      </w:tr>
    </w:tbl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13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Scope &amp; phased roadmap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Only Phase 0 is committed by this document. Each later phase re-enters the pipeline before it is built.</w:t>
      </w:r>
    </w:p>
    <w:tbl>
      <w:tblPr>
        <w:tblW w:type="dxa" w:w="9360"/>
        <w:tblBorders>
          <w:top w:val="none" w:color="auto" w:sz="0"/>
          <w:left w:val="single" w:color="D9763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5E2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1D21"/>
                <w:sz w:val="20"/>
                <w:szCs w:val="20"/>
              </w:rPr>
              <w:t xml:space="preserve">Phase 0 — MVP (the focused, buildable core)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Survey builder: core types + Brand Love scale + Trust battery + conditional logic (R-1, R-3, R-30, R-31)  •  AI-drafted survey (R-2)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Distribution by link + widget (R-4)  •  Mobile, account-free capture incl. partials (R-5, R-6)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Conversational AI survey with scope control + turn limits (R-7–R-10)  •  CSV import into the unified hub (R-11, R-13)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Unified cross-source analysis + aggregate unified-customer view (R-12, R-26)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AI theme + sentiment + Brand Love + Trust with traceability (R-14–R-16, R-30, R-32)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Core metrics incl. NPS/CSAT + Brand Love Index + Trust Index (R-19, O-11, O-12)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Love × Trust segmentation with recommended actions (R-33, O-13)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Insight report with ranked actions (R-18, R-22)  •  Two roles, account isolation, data export/delete (R-21, R-23)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• Closed-loop (starter): detect + prioritize dissatisfaction, open RecoveryCases, opt-in follow-up contact (R-34–R-36, R-40) — architected for the full loop and #3.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 w:color="auto" w:sz="0"/>
          <w:left w:val="single" w:color="D9763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5E2D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1D21"/>
                <w:sz w:val="20"/>
                <w:szCs w:val="20"/>
              </w:rPr>
              <w:t xml:space="preserve">MVP note on Trust depth</w:t>
            </w:r>
          </w:p>
          <w:p>
            <w:pPr>
              <w:spacing w:after="40" w:line="276"/>
            </w:pPr>
            <w:r>
              <w:rPr>
                <w:rFonts w:ascii="Inter" w:cs="Inter" w:eastAsia="Inter" w:hAnsi="Inter"/>
                <w:color w:val="1A1D21"/>
                <w:sz w:val="20"/>
                <w:szCs w:val="20"/>
              </w:rPr>
              <w:t xml:space="preserve">The MVP can ship with a single-item trust rating plus inferred trust from open text; the full multi-item driver battery (reliability/integrity/benevolence/security) can be a fast-follow if it risks the MVP timeline. See D-14.</w:t>
            </w:r>
          </w:p>
        </w:tc>
      </w:tr>
    </w:tbl>
    <w:p>
      <w:pPr>
        <w:spacing w:after="60"/>
      </w:pP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Phase 1 — Competitive insight &amp; distribution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Competitor configuration and benchmarking (own vs competitors) on ratings, Brand Love, Trust, sentiment, themes (R-24, R-27, O-9) — CSV / licensed-provider / API sources first.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Live web collection (R-25, DPS-7) — enabled only after the client’s legal review and sign-off.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Per-competitor deep-dive (R-28, O-10).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Natural-language "ask your data" query (R-17, O-6); email distribution (R-4 email); alerts (R-20); slides export.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Full closed loop (#2): integrations / hand-off to helpdesk / CRM / email (R-37), recovery measurement (R-38, O-15), and reinforcement plays for satisfied customers (R-39).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Phase 2 — Connectors, scale &amp; native workflow horizon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Additional sanctioned connectors; larger-volume background processing (NFR-5); multi-language expansion (D-4); team collaboration.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Native closed-loop workbench (posture #3) — agent queues, SLAs, and macros brought in-house, reusing the RecoveryCase, triggers, connectors, consent, and recovery metrics built for #2. Pursued when demand from #2 justifies it (a real decision, made from evidence — it changes the buyer and the pricing).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Phase 3 — Advanced insight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Driver analysis — what most influences Brand Love and Trust; the love-type distinction (passion vs. intimacy/loyalty, per Nobre 2011) and a resilience measure (does sentiment/repurchase hold after a negative event); benchmarking vs prior periods and optional, opt-in, anonymized peer norms; a research assistant that proposes surveys from the gaps it finds.</w:t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SECTION 14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Decisions (resolved in v4)</w:t>
      </w:r>
    </w:p>
    <w:p>
      <w:pPr>
        <w:spacing w:after="200" w:before="60"/>
      </w:pPr>
      <w:r>
        <w:rPr>
          <w:rFonts w:ascii="Fraunces" w:cs="Fraunces" w:eastAsia="Fraunces" w:hAnsi="Fraunces"/>
          <w:i/>
          <w:iCs/>
          <w:color w:val="6B6F76"/>
          <w:sz w:val="26"/>
          <w:szCs w:val="26"/>
        </w:rPr>
        <w:t xml:space="preserve">All fifteen prior open questions are now decided (client direction, 2026-07-27). Two items remain pending but non-blocking.</w:t>
      </w:r>
    </w:p>
    <w:tbl>
      <w:tblPr>
        <w:tblW w:type="dxa" w:w="9360"/>
        <w:tblBorders>
          <w:top w:val="single" w:color="1A1D21" w:sz="12"/>
          <w:left w:val="none" w:color="auto" w:sz="0"/>
          <w:bottom w:val="single" w:color="1A1D21" w:sz="12"/>
          <w:right w:val="none" w:color="auto" w:sz="0"/>
          <w:insideH w:val="single" w:color="E5E2DA" w:sz="8"/>
          <w:insideV w:val="none" w:color="auto" w:sz="0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Decision</w:t>
            </w:r>
          </w:p>
        </w:tc>
        <w:tc>
          <w:tcPr>
            <w:tcW w:type="dxa" w:w="5960"/>
            <w:shd w:fill="E5E2DA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b/>
                <w:bCs/>
                <w:color w:val="1A1D21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Keep "AAA Insights" as the working title (note overlap with the existing Active Pulse sentiment monitor; revisit branding later).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D-2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Build vs. buy survey engine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Build survey collection natively — full control of the survey, conversational, and data experience.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D-3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AI models / hosting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Provider-abstracted: best-available models, US data residency available, no lock-in; account data never trains shared models (DPS-9).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D-4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Language coverage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English-only MVP; multilingual analysis in Phase 2 (E-4).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D-5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Compliance targets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GDPR + CCPA for v1; SOC 2 on the roadmap (DPS-8).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D-6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MVP volume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~5,000 responses handled comfortably (NFR-2).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D-7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Commercial model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Hybrid: tiered subscription + usage (see note below).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D-8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First design partner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None yet — build a generic MVP; find a partner in parallel (pending).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D-9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Brand Love framework &amp; label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Grounded in Batra/Ahuvia/Bagozzi (2012). Middle label = "Ambivalence" (changed from "Ambiguity"). Scale: Love / Like / Ambivalence / Dislike / Hate.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D-10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Competitors &amp; sources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Generic &amp; configurable — each account sets its own competitors and sources; no presets.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D-11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Collection method &amp; legal sign-off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CSV import first (MVP); APIs/licensed feeds in Phase 1; live web collection only after the client’s legal sign-off (DPS-7). Sign-off owner (pending).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D-12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Normalization &amp; Love Index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Common 1–5 scale; Brand Love Index = %(Love+Like) − %(Dislike+Hate).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D-13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Collected-data retention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Per-account configurable, 24-month default (DPS-5).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D-14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Trust depth for v1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Single-item trust + inferred trust in the MVP; driver battery is a fast-follow.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D-15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Trust drivers &amp; Trust Index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Drivers: reliability, integrity, benevolence, security/privacy; Trust Index = %positive-trust − %negative-trust.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D-16</w:t>
            </w:r>
          </w:p>
        </w:tc>
        <w:tc>
          <w:tcPr>
            <w:tcW w:type="dxa" w:w="25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Closed-loop / service recovery (v5)</w:t>
            </w:r>
          </w:p>
        </w:tc>
        <w:tc>
          <w:tcPr>
            <w:tcW w:type="dxa" w:w="5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Inter" w:cs="Inter" w:eastAsia="Inter" w:hAnsi="Inter"/>
                <w:color w:val="1A1D21"/>
                <w:sz w:val="19"/>
                <w:szCs w:val="19"/>
              </w:rPr>
              <w:t xml:space="preserve">Adopt the Closed-Loop pillar as posture #2 (orchestrate + measure), architected for #3 (native workflow) as a later horizon. MVP: detect + prioritize detractors + opt-in follow-up; full loop + recovery measurement in Phase 1.</w:t>
            </w:r>
          </w:p>
        </w:tc>
      </w:tr>
    </w:tbl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Commercial model note (D-7)</w:t>
      </w:r>
    </w:p>
    <w:p>
      <w:pPr>
        <w:spacing w:after="140" w:line="300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A hybrid built for SMB/mid-market — tiered subscription plans (e.g. Starter / Growth / Pro) bundling a monthly response/analysis allowance, with usage-based overage and a competitor-tracking add-on. Fuller pricing is a go-to-market decision to firm up alongside the first design partner; the spec only assumes the account/billing hooks in R-21.</w:t>
      </w:r>
    </w:p>
    <w:p>
      <w:pPr>
        <w:spacing w:after="90" w:before="200"/>
      </w:pPr>
      <w:r>
        <w:rPr>
          <w:rFonts w:ascii="Inter" w:cs="Inter" w:eastAsia="Inter" w:hAnsi="Inter"/>
          <w:b/>
          <w:bCs/>
          <w:color w:val="1A1D21"/>
          <w:sz w:val="22"/>
          <w:szCs w:val="22"/>
        </w:rPr>
        <w:t xml:space="preserve">Still pending (non-blocking)</w:t>
      </w:r>
    </w:p>
    <w:p>
      <w:pPr>
        <w:spacing w:after="140" w:line="300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A named first design partner (D-8) and the named legal sign-off owner for web collection (D-11). Neither blocks approval or the MVP build; both are needed before their respective Phase-1 features go live.</w:t>
      </w:r>
    </w:p>
    <w:p>
      <w:r>
        <w:br w:type="page"/>
      </w:r>
    </w:p>
    <w:p>
      <w:pPr>
        <w:spacing w:after="80" w:before="360"/>
      </w:pPr>
      <w:r>
        <w:rPr>
          <w:rFonts w:ascii="Inter" w:cs="Inter" w:eastAsia="Inter" w:hAnsi="Inter"/>
          <w:b/>
          <w:bCs/>
          <w:color w:val="6B6F76"/>
          <w:spacing w:val="40"/>
          <w:sz w:val="17"/>
          <w:szCs w:val="17"/>
        </w:rPr>
        <w:t xml:space="preserve">APPROVAL</w:t>
      </w:r>
    </w:p>
    <w:p>
      <w:pPr>
        <w:pBdr>
          <w:bottom w:val="single" w:color="1A1D21" w:sz="12" w:space="1"/>
        </w:pBdr>
        <w:spacing w:after="80"/>
        <w:ind w:right="87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Fraunces" w:cs="Fraunces" w:eastAsia="Fraunces" w:hAnsi="Fraunces"/>
          <w:b/>
          <w:bCs/>
          <w:color w:val="1A1D21"/>
          <w:sz w:val="40"/>
          <w:szCs w:val="40"/>
        </w:rPr>
        <w:t xml:space="preserve">The Phase-1 gate</w:t>
      </w:r>
    </w:p>
    <w:p>
      <w:pPr>
        <w:spacing w:after="0" w:before="260"/>
      </w:pPr>
      <w:r>
        <w:rPr>
          <w:rFonts w:ascii="Inter" w:cs="Inter" w:eastAsia="Inter" w:hAnsi="Inter"/>
          <w:color w:val="1A1D21"/>
          <w:sz w:val="21"/>
          <w:szCs w:val="21"/>
        </w:rPr>
        <w:t xml:space="preserve">Approved by </w:t>
      </w:r>
      <w:r>
        <w:rPr>
          <w:rFonts w:ascii="Inter" w:cs="Inter" w:eastAsia="Inter" w:hAnsi="Inter"/>
          <w:color w:val="6B6F76"/>
          <w:sz w:val="21"/>
          <w:szCs w:val="21"/>
        </w:rPr>
        <w:t xml:space="preserve">______________________________</w:t>
      </w:r>
      <w:r>
        <w:rPr>
          <w:rFonts w:ascii="Inter" w:cs="Inter" w:eastAsia="Inter" w:hAnsi="Inter"/>
          <w:color w:val="1A1D21"/>
          <w:sz w:val="21"/>
          <w:szCs w:val="21"/>
        </w:rPr>
        <w:t xml:space="preserve">     Date </w:t>
      </w:r>
      <w:r>
        <w:rPr>
          <w:rFonts w:ascii="Inter" w:cs="Inter" w:eastAsia="Inter" w:hAnsi="Inter"/>
          <w:color w:val="6B6F76"/>
          <w:sz w:val="21"/>
          <w:szCs w:val="21"/>
        </w:rPr>
        <w:t xml:space="preserve">____________________</w:t>
      </w:r>
    </w:p>
    <w:p>
      <w:pPr>
        <w:pBdr>
          <w:top w:val="single" w:color="E5E2DA" w:sz="8" w:space="6"/>
        </w:pBdr>
        <w:spacing w:before="400"/>
      </w:pPr>
      <w:r>
        <w:rPr>
          <w:rFonts w:ascii="Inter" w:cs="Inter" w:eastAsia="Inter" w:hAnsi="Inter"/>
          <w:i/>
          <w:iCs/>
          <w:color w:val="6B6F76"/>
          <w:sz w:val="18"/>
          <w:szCs w:val="18"/>
        </w:rPr>
        <w:t xml:space="preserve">Prepared by Active AI Advisors under the Grounded AI™ methodology. Every phase produces an artifact you own.</w:t>
      </w:r>
    </w:p>
    <w:p>
      <w:pPr>
        <w:spacing w:before="60"/>
      </w:pPr>
      <w:r>
        <w:rPr>
          <w:rFonts w:ascii="Inter" w:cs="Inter" w:eastAsia="Inter" w:hAnsi="Inter"/>
          <w:color w:val="6B6F76"/>
          <w:sz w:val="18"/>
          <w:szCs w:val="18"/>
        </w:rPr>
        <w:t xml:space="preserve">Active AI Advisors · paul@activeaiadvisors.com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Inter" w:cs="Inter" w:eastAsia="Inter" w:hAnsi="Inter"/>
        <w:color w:val="D9763A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Inter" w:cs="Inter" w:eastAsia="Inter" w:hAnsi="Inter"/>
        <w:color w:val="6B6F7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Fraunces" w:cs="Fraunces" w:eastAsia="Fraunces" w:hAnsi="Fraunces"/>
      <w:b/>
      <w:bCs/>
      <w:color w:val="1A1D21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312affa6f30b45294b7722d6925a0ad183f1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2026-07-27T20:19:02.214Z</dcterms:created>
  <dcterms:modified xsi:type="dcterms:W3CDTF">2026-07-27T20:19:02.232Z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