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1EA"/>
  <w:body>
    <w:p>
      <w:pPr>
        <w:spacing w:after="260" w:before="300"/>
      </w:pPr>
      <w:r>
        <w:drawing>
          <wp:inline distT="0" distB="0" distL="0" distR="0">
            <wp:extent cx="70485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Inter" w:cs="Inter" w:eastAsia="Inter" w:hAnsi="Inter"/>
          <w:b/>
          <w:bCs/>
          <w:color w:val="6B6F76"/>
          <w:spacing w:val="50"/>
          <w:sz w:val="18"/>
          <w:szCs w:val="18"/>
        </w:rPr>
        <w:t xml:space="preserve">PRODUCT REQUIREMENTS DOCUMENT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40" w:before="120"/>
      </w:pPr>
      <w:r>
        <w:rPr>
          <w:rFonts w:ascii="Fraunces" w:cs="Fraunces" w:eastAsia="Fraunces" w:hAnsi="Fraunces"/>
          <w:b/>
          <w:bCs/>
          <w:color w:val="1A1D21"/>
          <w:sz w:val="68"/>
          <w:szCs w:val="68"/>
        </w:rPr>
        <w:t xml:space="preserve">AAA Insights</w:t>
      </w:r>
    </w:p>
    <w:p>
      <w:pPr>
        <w:spacing w:after="30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Collect surveys, reviews, ratings, and comments — then let AI turn them into customer, competitive, and relationship insight.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Version: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v3 — Draft (Trust extension)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Date:       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2026-07-14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by: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Active AI Advisors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Prepared for: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Paul Jamieson</w:t>
      </w:r>
    </w:p>
    <w:p>
      <w:pPr>
        <w:spacing w:after="40"/>
      </w:pPr>
      <w:r>
        <w:rPr>
          <w:rFonts w:ascii="JetBrains Mono" w:cs="JetBrains Mono" w:eastAsia="JetBrains Mono" w:hAnsi="JetBrains Mono"/>
          <w:color w:val="6B6F76"/>
          <w:sz w:val="18"/>
          <w:szCs w:val="18"/>
        </w:rPr>
        <w:t xml:space="preserve">Methodology:  </w:t>
      </w:r>
      <w:r>
        <w:rPr>
          <w:rFonts w:ascii="JetBrains Mono" w:cs="JetBrains Mono" w:eastAsia="JetBrains Mono" w:hAnsi="JetBrains Mono"/>
          <w:color w:val="1A1D21"/>
          <w:sz w:val="18"/>
          <w:szCs w:val="18"/>
        </w:rPr>
        <w:t xml:space="preserve">Grounded AI™ — Phase 1 (SPECIFY)</w:t>
      </w:r>
    </w:p>
    <w:p>
      <w:pPr>
        <w:pBdr>
          <w:top w:val="single" w:color="E5E2DA" w:sz="8" w:space="6"/>
        </w:pBdr>
        <w:spacing w:before="3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Applied AI for operators.</w:t>
      </w:r>
      <w:r>
        <w:rPr>
          <w:rFonts w:ascii="Inter" w:cs="Inter" w:eastAsia="Inter" w:hAnsi="Inter"/>
          <w:color w:val="6B6F76"/>
          <w:sz w:val="18"/>
          <w:szCs w:val="18"/>
        </w:rPr>
        <w:t xml:space="preserve">   ·   activeaiadvisors.com   ·   paul@activeaiadvisors.com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WHAT CHANGED IN V3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Revised 2026-07-14 — Trust extension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Brand Trust added as a first-class indicator that complements Brand Love (love is the emotional pull; trust is confidence the brand is reliable, honest, and acts in your interest).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 Trust question type (single-item + optional driver battery: reliability, integrity, benevolence, security/privacy), a Trust Index, and trust inferred from open text.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 Love × Trust segmentation — Devoted / Infatuated (fragile) / Dependable / At-risk — with a recommended action per quadrant.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Grounded in the library: Wardani &amp; Gustia (2016) — trust bridges satisfaction to attachment; Nobre (2011) — passion-love without trust is fragile.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  (v2 added: aggregate unified-customer view, competitors, lawful collection under DPS-7, the Brand Love scale, and the data model.)</w:t>
            </w:r>
          </w:p>
        </w:tc>
      </w:tr>
    </w:tbl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CONTENTS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Purpose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Target users &amp; buyer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Product principles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05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Outputs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06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Requirements (behaviors)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07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Invariants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08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Edge cases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09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Exclusions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10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Data, privacy &amp; security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11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Non-functional requirements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12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Data model (logical)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13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Scope &amp; phased roadmap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14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Open questions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pPr>
        <w:spacing w:after="70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—   </w:t>
      </w:r>
      <w:r>
        <w:rPr>
          <w:rFonts w:ascii="Inter" w:cs="Inter" w:eastAsia="Inter" w:hAnsi="Inter"/>
          <w:color w:val="1A1D21"/>
          <w:sz w:val="22"/>
          <w:szCs w:val="22"/>
        </w:rPr>
        <w:t xml:space="preserve">Approval</w:t>
      </w:r>
      <w:ptab w:alignment="right" w:relativeTo="margin" w:leader="dot"/>
      <w:r>
        <w:rPr>
          <w:rFonts w:ascii="Inter" w:cs="Inter" w:eastAsia="Inter" w:hAnsi="Inter"/>
          <w:color w:val="6B6F76"/>
          <w:sz w:val="20"/>
          <w:szCs w:val="20"/>
        </w:rPr>
        <w:t xml:space="preserve"/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Purpose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software is for — and who it serves.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Target users &amp; buyer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Two audiences, one product: credible analysis for the business, effortless response for the customer.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User role</w:t>
            </w:r>
          </w:p>
        </w:tc>
        <w:tc>
          <w:tcPr>
            <w:tcW w:type="dxa" w:w="63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What they need from AAA Insights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Owner / founder / GM (buyer)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fast, trustworthy read on what customers think, how the brand compares to rivals, and what to fix first.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Marketing / brand lead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Themes, sentiment, brand-love, trust, quotes, and competitive position to guide messaging and positioning.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CX / customer-success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Early warning on dissatisfaction, eroding trust, drivers of churn, and a way to close the loop.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Product manager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Prioritized signal on what customers want changed, backed by evidence and volume.</w:t>
            </w:r>
          </w:p>
        </w:tc>
      </w:tr>
      <w:tr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Respondent (the customer)</w:t>
            </w:r>
          </w:p>
        </w:tc>
        <w:tc>
          <w:tcPr>
            <w:tcW w:type="dxa" w:w="63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 short, respectful, mobile-friendly way to give feedback — including a conversational option that feels heard.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Product principles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Seven commitments that shape every design decision.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receives.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definition — built by an admin or AI-generated. Question types include single-select, multi-select, rating/scale, open text, the Brand Love scale (Love / Like / Ambiguity / Dislike / Hate), and the Trust battery (a single-item trust rating and/or a short driver battery: reliability, integrity, benevolence, security/privacy).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Survey response — ratings (incl. Brand Love and Trust), multiple-choice, and open-text comments. May be partial.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response — free-text turns in an AI-led adaptive interview, as a transcript.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Imported feedback — external reviews/ratings/comments for the company’s own brand via CSV.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metadata — optional, non-identifying attributes (segment, channel, product, region, language).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Distribution request — publish a survey via link, email list, or widget.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Analysis query — a natural-language question asked of the feedback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configuration — the competitor brands to track: names, aliases, products, public sources.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feedback — reviews/ratings/comments about the own brand and tracked competitors from public web pages, review-site APIs, or a licensed provider (source URL, capture date, brand, rating, text).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05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Outputs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What the system produces.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Collected response store — every response persisted under a common schema, attributable to source, brand, and campaign.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Theme analysis — AI-generated themes with counts, quotes, and trend; filterable by brand.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Sentiment analysis — positive/neutral/negative with intensity, aggregated by theme, segment, source, brand, and 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Ratings &amp; metrics — average ratings, distribution, response/completion rates, NPS/CSAT.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Insight report — narrative of what’s happening, why, and what to do, with ranked actions; can include the competitive picture and the Love × Trust read. Exportable.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Answer to an analysis query — grounded strictly in the account’s own data,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Alerts — notifications when a monitored signal crosses a threshold.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Respondent-facing survey — the rendered survey or conversational interview.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Competitive benchmark — own brand vs. competitors on ratings, Brand Love, Trust, sentiment, and themes over a chosen period.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Per-competitor analysis — for a selected competitor, an aggregate view with traceability.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Brand Love read — the distribution across Love / Like / Ambiguity / Dislike / Hate and a Brand Love Index (share of Love+Like minus share of Dislike+Hate), per company and competitor, over time.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O-12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Trust read — a Trust Index (net trust) plus a driver breakdown (reliability, integrity, benevolence, security/privacy), per company and competitor, over time.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O-13 — Love × Trust segmentation</w:t>
      </w:r>
    </w:p>
    <w:p>
      <w:pPr>
        <w:spacing w:after="140" w:line="30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Respondents and segments are placed in one of four quadrants, each with a recommended action: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Quadrant</w:t>
            </w:r>
          </w:p>
        </w:tc>
        <w:tc>
          <w:tcPr>
            <w:tcW w:type="dxa" w:w="69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 and recommended action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Devoted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High love / high trust — your advocates. Protect and activate them.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Infatuated (fragile)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High love / low trust — passion without a safety net. One stumble triggers churn; shore up reliability and transparency.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Dependable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Low love / high trust — loyal by reliability, not emotion. Steady; deepen the relationship.</w:t>
            </w:r>
          </w:p>
        </w:tc>
      </w:tr>
      <w:tr>
        <w:tc>
          <w:tcPr>
            <w:tcW w:type="dxa" w:w="2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At-risk</w:t>
            </w:r>
          </w:p>
        </w:tc>
        <w:tc>
          <w:tcPr>
            <w:tcW w:type="dxa" w:w="69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Low love / low trust — churn risk and detractors. Intervene or triage.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06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Requirements (behaviors)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Each is a single, testable behavior. IDs are cited by the Phase-3 test suite.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Survey creation &amp; distribution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Create a survey with at least: single-select, multi-select, rating/scale, open text, the Brand Love scale, and the Trust battery (single-item and/or driver items).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 draft survey from a plain-language objective; editable before sending.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Conditional logic: a question or branch is shown or skipped based on a previous answer.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Distribute by (a) link, (b) email list, and (c) embeddable widget. (Email is Phase-1; link + widget are MVP.)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completes a survey on mobile and desktop without creating an account.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Partial responses are recorded and marked incomplete, not discarded.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Conversational (AI-led) surveys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Enable a conversational mode where an AI interviewer asks questions and relevant follow-up probes.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stays on the admin-defined objective and does not ask outside the topic scope.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interviewer ends after a configurable max number of exchanges or when the objective is met.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transcript is stored and analyzable by the same engine as structured responses.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feedback hub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Import external feedback via CSV, mapping columns to the unified schema (brand, source, date, rating, text, segment).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feedback is queryable together, filterable by brand, source, campaign, date, segment, rating, sentiment.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De-duplicate obviously identical items (same source + text + timestamp).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 Love, Trust &amp; metrics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theme analysis with counts and representative quotes for any filtered set.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Assign sentiment to each open-text response and aggregate across chosen dimensions.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every theme, sentiment aggregate, Brand Love read, and Trust read, open the exact underlying responses (traceability — INV-3).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Record Brand Love on the five-point scale, normalize to an ordinal, and compute the Brand Love distribution and Index (O-11) — including inferring a read from open text where no direct rating exists, labeled inferred (INV-4).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Support a Trust question type — a single-item trust rating and an optional multi-item driver battery (reliability, integrity, benevolence, security/privacy).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Record trust; compute a Trust Index and per-driver breakdown (O-12) for any filtered set — including inferring a trust read from open text where no direct rating exists, labeled inferred (INV-4), the same way Brand Love is inferred (R-30).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R-33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the Love × Trust segmentation (O-13) with a recommended action per quadrant, available in the insight report (O-5) and the competitive benchmark (O-9).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Unified customer &amp; competitive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Produce an aggregate, cross-source "unified customer" view WITHOUT building or requiring an identity-linked individual profile (INV-9).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Define and manage a set of competitor brands to track (I-8).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 publicly available reviews/ratings/comments about the own brand and tracked competitors from configured sources, subject to §10 (DPS-7) and a legal-review gate before live collection is enabled.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Benchmark the company’s brand vs. competitors on ratings, Brand Love, Trust, sentiment, and themes over a chosen period (O-9).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For a selected competitor, produce per-competitor aggregate analysis (O-10) with traceability.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All brand/competitor analysis is filterable by brand, source, date, segment, and sentiment, and every competitor figure links to its source items.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AI analysis, accounts, roles, export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Ask a natural-language question and receive an answer grounded only in the account’s own data, with citations.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Generate an insight report: narrative, metrics, top themes, sentiment, Brand Love, Trust and the Love × Trust read, competitive comparison, quotes, ranked actions.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R-19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Compute response rate, completion rate, average rating, rating distribution, and NPS/CSAT when questions qualify.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Configure an alert on a signal (negative-sentiment share, average rating, Brand Love Index, Trust Index, new theme) with notification when crossed.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At least two roles: Owner/Admin (account, users, billing) and Member (builds surveys, views analysis).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Export any analysis view and the insight report (CSV for raw data; PDF and/or slides).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R-23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Delete a survey, campaign, or response, and export or delete all account data.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07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Invariants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Conditions that must hold in every state of the system.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response is attributable to exactly one source AND one brand. No response exists without a known origin.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Counts are never negative and never exceed responses collected; percentages come from the current filter, each response counted once per dimension.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Every theme, aggregate, Brand Love read, Trust read, insight, recommendation, and query answer is traceable to its underlying responses. No AI claim without a path to its verbatim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never shows a quote or statistic absent from the data, and labels any value it inferred (e.g., Brand Love or Trust from text) as inferred, not stated.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respondent can complete a survey without providing identifying information.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Each account’s data is isolated; AI analysis is grounded only in that account’s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Deleting a response, campaign, or account removes it from all future analysis; deleted data never reappears.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stored securely and never written to logs or AI outputs unless the admin opts in.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"unified customer" view is always aggregate; no identity-resolved profile of any individual.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Externally-collected data is only ever publicly available and lawfully obtained; no bypassing authentication, paywalls, or technical controls; provenance kept on every item.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Personal data in public reviews is minimized, never used to build a profile, and excluded from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INV-12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Brand Love and Brand Trust are measured and reported as DISTINCT indicators. The system never collapses them into a single score, and never presents Trust as satisfaction (or vice versa).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08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Edge cases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unusual conditions the system must survive — defined now, tested in Phase 3.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Empty or tiny sample — states the sample is too small for reliable findings (themes, sentiment, Brand Love, or Trust) rather than fabricating confidence.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Abandoned survey — the partial is retained, counted as incomplete, flagged in analysis.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Junk / abusive open text — captured, flagged, excluded from analysis by default, reviewable.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Non-English / mixed-language — language detected and analyzed accordingly (Q-4).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Malformed CSV import — rejected or partially accepted with a per-row error report.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Duplicate / repeated submissions — de-duplication plus link-level controls.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Conversational interview off the rails — stays in scope, ignores injected instructions, ends gracefully.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Ambiguous analysis query — answers only what the data supports; states what it cannot determine.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Sudden volume spike — ingestion and analysis stay correct; views may lag but never lose or double-count.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Sensitive disclosure — PII/safety concerns stored under INV-8/INV-11, surfaced to the admin, not broadcast.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Concurrent editing — two admins editing one survey do not silently overwrite each other.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Source blocks or rate-limits collection — collection backs off, records the gap, never fabricates missing items.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 identity ambiguity — low-confidence matches flagged and excluded from headline figures until confirmed.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Sparse competitor data — too few public reviews shows "insufficient data," not a misleading number.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Mixed rating scales — 5-star, 10-point, thumbs, Brand Love, Trust each normalized to the common scale; un-mappable ratings stored raw and excluded from cross-source averages.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E-16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Category-relative trust — the Trust Index is read relative to category and prior period, not as an absolute (a bank’s trust bar differs from a snack brand’s). Cross-category trust comparisons are flagged as context-dependent.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09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Exclusions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Explicitly out of scope for v1 — the unwritten assumptions, made written.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Not a CRM or customer-record system; does not build identity-resolved individual profiles.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two-way case management / ticketing; closing the loop in v1 is export/notification.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is limited to publicly available content obtained lawfully via APIs, licensed providers, or public web pages under the DPS-7 guardrails. No private/authenticated content, bypassing logins/paywalls/protections, or collecting data a source’s terms prohibit.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prediction of future business outcomes (churn, revenue) in v1.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No public respondent panel / audience marketplace.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replace human research judgment; it is decision support with evidence attached.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X-7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Does not attempt to re-identify individuals or merge scraped personal data into any profile.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10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Data, privacy &amp; security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handling bar this product is held to — enforced in build and verification.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system is a data processor for the account’s feedback; the company is the controller.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Respondent PII is minimized, encrypted at rest and in transit, access-controlled by role, and excluded from logs and AI outputs by default.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Data-subject requests are supported: export and deletion on request.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processing is isolated to the account; account data is not used to train shared/base models without opt-in.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 configurable retention period is supported for both first-party and collected data.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DPS-6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The full security checklist is applied during build and verification. (Security/privacy is also a Trust driver measured in O-12 — how safe customers feel is part of the trust picture.)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DPS-7 — Web / data-collection compliance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Lawful and ethical by construction — with a legal-review gate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Collect only publicly accessible content. Respect robots.txt and reasonable rate limits.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Never bypass authentication, paywalls, or technical protections. Prefer official APIs and licensed providers over page collection.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Keep provenance (source, URL, capture date) on every item. Minimize and never profile personal data in reviews (INV-11). Honor source-specific terms.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 specific sources and methods are subject to the client’s legal review and written sign-off BEFORE live collection is enabled — a gate, not a default.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Active AI Advisors is not providing legal advice; the client should confirm the approach with counsel.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11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Non-functional requirements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Speed, reliability, access, and honesty — stated as testable budgets.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Performance — a survey page loads under 2 s on mobile; a submission acknowledges under 1 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Analysis latency — up to the MVP size (~5,000 items, Q-6) returns within a stated budget; larger sets run as background jobs with progress.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Availability — the collection endpoint targets a stated uptime; ingestion is durable even if analysis is degraded.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Accessibility — respondent-facing surveys meet WCAG 2.1 AA.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Scalability path — grows from SMB volumes toward larger sets without a rewrite.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Explainability — every AI output carries the data behind it and a confidence signal, including inferred Brand Love and Trust reads.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NFR-7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freshness &amp; politeness — collected data shows a freshness/coverage indicator; collection runs at a polite, configurable rate and records gaps.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12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Data model (logical)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The records the system keeps and how they relate. Physical schema is an Architecture-phase decision; this defines what is stored, not how.</w:t>
      </w:r>
    </w:p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Brand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a company or competitor whose feedback is analyzed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name / aliases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Display name and alternates used to match reviews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type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 or competitor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products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Optional product / line names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tracked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Whether active collection is enabled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Source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where a piece of feedback came from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source_id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type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survey · conversational · import_csv · web · api · provider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name / url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Human name and, for web/API, the location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terms_note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Compliance note / permitted-use flag (DPS-7)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FeedbackRecord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the core record — one rating and/or comment about one brand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Unique id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account_id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Owning tenant (INV-6)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Which brand this is about — own or competitor (INV-1)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source_id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Where it came from (INV-1)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captured_at / date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When the feedback was given or collected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rating_raw / rating_scale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Original rating and its scale (5_star, 10_pt, nps, csat, brand_love, trust, …)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rating_norm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Rating normalized to a common 1–5 ordinal (E-15)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brand_love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Love / Like / Ambiguity / Dislike / Hate, if applicable — ordinal 5→1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trust  (v3)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Trust rating if directly asked — normalized 1–5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trust_drivers  (v3)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Optional per-driver scores/tags: reliability, integrity, benevolence, security_privacy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comment_text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open-text comment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language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Detected language (E-4)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segment / region / channel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Optional non-identifying metadata (I-5)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is_complete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Complete vs. partial (R-6)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flags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junk · abuse · safety · low_confidence (E-3, E-13)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provenance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source_url + capture_date, or import_batch (INV-10)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Sentiment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derived, one per record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record it describes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polarity / intensity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positive / neutral / negative, with strength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model_version / confidence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What produced it and how sure (NFR-6)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Trust  (v3)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derived, one per record where trust is present or inferred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record_id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record it describes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trust_score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Normalized trust value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drivers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reliability / integrity / benevolence / security_privacy sub-scores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model_version / confidence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What produced it and how sure (NFR-6)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inferred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True if derived from open text rather than a direct rating (INV-4)</w:t>
            </w:r>
          </w:p>
        </w:tc>
      </w:tr>
    </w:tbl>
    <w:p>
      <w:pPr>
        <w:spacing w:after="40" w:before="22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MetricSnapshot</w:t>
      </w:r>
      <w:r>
        <w:rPr>
          <w:rFonts w:ascii="Inter" w:cs="Inter" w:eastAsia="Inter" w:hAnsi="Inter"/>
          <w:i/>
          <w:iCs/>
          <w:color w:val="6B6F76"/>
          <w:sz w:val="20"/>
          <w:szCs w:val="20"/>
        </w:rPr>
        <w:t xml:space="preserve">  — a computed rollup for a brand over a period and filter (O-4, O-9, O-11, O-12)</w:t>
      </w:r>
    </w:p>
    <w:tbl>
      <w:tblPr>
        <w:tblW w:type="dxa" w:w="9360"/>
        <w:tblBorders>
          <w:top w:val="single" w:color="1A1D21" w:sz="12"/>
          <w:left w:val="none" w:color="auto" w:sz="0"/>
          <w:bottom w:val="single" w:color="1A1D21" w:sz="12"/>
          <w:right w:val="none" w:color="auto" w:sz="0"/>
          <w:insideH w:val="single" w:color="E5E2DA" w:sz="8"/>
          <w:insideV w:val="none" w:color="auto" w:sz="0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Field</w:t>
            </w:r>
          </w:p>
        </w:tc>
        <w:tc>
          <w:tcPr>
            <w:tcW w:type="dxa" w:w="6660"/>
            <w:shd w:fill="E5E2DA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b/>
                <w:bCs/>
                <w:color w:val="1A1D21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brand_id / period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Brand and time window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metric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avg_rating · nps · csat · brand_love_index · trust_index (v3) · trust_&lt;driver&gt; (v3) · neg_sentiment_share · response_rate · completion_rate</w:t>
            </w:r>
          </w:p>
        </w:tc>
      </w:tr>
      <w:tr>
        <w:tc>
          <w:tcPr>
            <w:tcW w:type="dxa" w:w="27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JetBrains Mono" w:cs="JetBrains Mono" w:eastAsia="JetBrains Mono" w:hAnsi="JetBrains Mono"/>
                <w:color w:val="1A1D21"/>
                <w:sz w:val="19"/>
                <w:szCs w:val="19"/>
              </w:rPr>
              <w:t xml:space="preserve">value / filter_context</w:t>
            </w:r>
          </w:p>
        </w:tc>
        <w:tc>
          <w:tcPr>
            <w:tcW w:type="dxa" w:w="666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0" w:line="250"/>
            </w:pPr>
            <w:r>
              <w:rPr>
                <w:rFonts w:ascii="Inter" w:cs="Inter" w:eastAsia="Inter" w:hAnsi="Inter"/>
                <w:color w:val="1A1D21"/>
                <w:sz w:val="19"/>
                <w:szCs w:val="19"/>
              </w:rPr>
              <w:t xml:space="preserve">The number and the filter it was computed under (INV-2)</w:t>
            </w:r>
          </w:p>
        </w:tc>
      </w:tr>
    </w:tbl>
    <w:p>
      <w:pPr>
        <w:spacing w:before="200"/>
      </w:pP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Love × Trust segment (v3)  &amp;  the "unified customer" view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Love × Trust segment — computed from the Brand Love and Trust metrics for a brand/segment; each respondent or segment falls in one quadrant (Devoted / Infatuated / Dependable / At-risk) with counts and shares (O-13).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Unified customer view — there is deliberately NO individual-Customer entity. It aggregates FeedbackRecords for an own brand across all sources and time, grouped by Segment — a population read, not a person read (R-26, INV-9).</w:t>
            </w:r>
          </w:p>
        </w:tc>
      </w:tr>
    </w:tbl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13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Scope &amp; phased roadmap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Only Phase 0 is committed by this document. Each later phase re-enters the pipeline before it is built.</w:t>
      </w: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Phase 0 — MVP (the focused, buildable core)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Survey builder: core types + Brand Love scale + Trust battery + conditional logic (R-1, R-3, R-30, R-31)  •  AI-drafted survey (R-2)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Distribution by link + widget (R-4)  •  Mobile, account-free capture incl. partials (R-5, R-6)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Conversational AI survey with scope control + turn limits (R-7–R-10)  •  CSV import into the unified hub (R-11, R-13)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Unified cross-source analysis + aggregate unified-customer view (R-12, R-26)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AI theme + sentiment + Brand Love + Trust with traceability (R-14–R-16, R-30, R-32)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Core metrics incl. NPS/CSAT + Brand Love Index + Trust Index (R-19, O-11, O-12)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Love × Trust segmentation with recommended actions (R-33, O-13)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• Insight report with ranked actions (R-18, R-22)  •  Two roles, account isolation, data export/delete (R-21, R-23)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none" w:color="auto" w:sz="0"/>
          <w:left w:val="single" w:color="D9763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360"/>
      </w:tblGrid>
      <w:tr>
        <w:tc>
          <w:tcPr>
            <w:tcW w:type="dxa" w:w="9360"/>
            <w:shd w:fill="E5E2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Inter" w:cs="Inter" w:eastAsia="Inter" w:hAnsi="Inter"/>
                <w:b/>
                <w:bCs/>
                <w:color w:val="1A1D21"/>
                <w:sz w:val="20"/>
                <w:szCs w:val="20"/>
              </w:rPr>
              <w:t xml:space="preserve">MVP note on Trust depth</w:t>
            </w:r>
          </w:p>
          <w:p>
            <w:pPr>
              <w:spacing w:after="40" w:line="276"/>
            </w:pPr>
            <w:r>
              <w:rPr>
                <w:rFonts w:ascii="Inter" w:cs="Inter" w:eastAsia="Inter" w:hAnsi="Inter"/>
                <w:color w:val="1A1D21"/>
                <w:sz w:val="20"/>
                <w:szCs w:val="20"/>
              </w:rPr>
              <w:t xml:space="preserve">The MVP can ship with a single-item trust rating plus inferred trust from open text; the full multi-item driver battery (reliability/integrity/benevolence/security) can be a fast-follow if it risks the MVP timeline. See Q-14.</w:t>
            </w:r>
          </w:p>
        </w:tc>
      </w:tr>
    </w:tbl>
    <w:p>
      <w:pPr>
        <w:spacing w:after="60"/>
      </w:pP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1 — Competitive insight &amp; distribution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Competitor configuration and benchmarking (own vs competitors) on ratings, Brand Love, Trust, sentiment, themes (R-24, R-27, O-9) — CSV / licensed-provider / API sources first.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Live web collection (R-25, DPS-7) — enabled only after the client’s legal review and sign-off.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Per-competitor deep-dive (R-28, O-10).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Natural-language "ask your data" query (R-17, O-6); email distribution (R-4 email); alerts (R-20); slides export.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2 — Connectors &amp; scale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Additional sanctioned connectors; larger-volume background processing (NFR-5); multi-language expansion (Q-4); team collaboration.</w:t>
      </w:r>
    </w:p>
    <w:p>
      <w:pPr>
        <w:spacing w:after="90" w:before="200"/>
      </w:pPr>
      <w:r>
        <w:rPr>
          <w:rFonts w:ascii="Inter" w:cs="Inter" w:eastAsia="Inter" w:hAnsi="Inter"/>
          <w:b/>
          <w:bCs/>
          <w:color w:val="1A1D21"/>
          <w:sz w:val="22"/>
          <w:szCs w:val="22"/>
        </w:rPr>
        <w:t xml:space="preserve">Phase 3 — Advanced insight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Driver analysis — what most influences Brand Love and Trust; the love-type distinction (passion vs. intimacy/loyalty, per Nobre 2011) and a resilience measure (does sentiment/repurchase hold after a negative event); benchmarking vs prior periods and optional, opt-in, anonymized peer norms; a research assistant that proposes surveys from the gaps it finds.</w:t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SECTION 14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Open questions</w:t>
      </w:r>
    </w:p>
    <w:p>
      <w:pPr>
        <w:spacing w:after="200" w:before="60"/>
      </w:pPr>
      <w:r>
        <w:rPr>
          <w:rFonts w:ascii="Fraunces" w:cs="Fraunces" w:eastAsia="Fraunces" w:hAnsi="Fraunces"/>
          <w:i/>
          <w:iCs/>
          <w:color w:val="6B6F76"/>
          <w:sz w:val="26"/>
          <w:szCs w:val="26"/>
        </w:rPr>
        <w:t xml:space="preserve">Decisions we need from you before proceeding to CHALLENGE (Phase 2).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Product name — is "AAA Insights" the intended name or a working title?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Build vs. buy the survey engine — build collection natively, or wrap an existing component?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AI models / hosting — any constraints on model provider or data residency?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Language coverage for v1 — English-only, or which additional languages at launch?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Compliance targets — which regimes must v1 satisfy (GDPR, CCPA, SOC 2 roadmap)?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Q-6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MVP volume target — what item volume must the MVP handle comfortably?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Q-7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Commercial model — per-seat, per-response, per-survey, per-competitor, or tiered?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Q-8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First design partner — a specific first customer/segment to anchor the MVP?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Q-9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Brand-love framework — resolved: grounded in Batra/Ahuvia/Bagozzi (2012). Confirm "Ambiguity" as the middle label (vs. "Ambivalence"/"Neutral").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Q-10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Competitors &amp; sources — which competitors to track first, and which review sources matter most?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Q-11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Collection method &amp; legal sign-off — confirm the API / licensed-provider / public-web mix, and who provides the legal review that gates live web collection (DPS-7).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Q-12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Rating normalization — confirm the common scale (proposed 1–5) and the Brand Love Index formula (proposed: %(Love+Like) − %(Dislike+Hate)).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Q-13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Collected-data retention — how long should collected competitor/web data be retained?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Q-14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Trust depth for v1 — single-item trust rating plus inference, or the full multi-item driver battery? (Recommendation: single-item + inference in the MVP; driver battery as a fast-follow.)</w:t>
      </w:r>
    </w:p>
    <w:p>
      <w:pPr>
        <w:pStyle w:val="ListParagraph"/>
        <w:numPr>
          <w:ilvl w:val="0"/>
          <w:numId w:val="2"/>
        </w:numPr>
        <w:spacing w:after="90" w:line="288"/>
      </w:pPr>
      <w:r>
        <w:rPr>
          <w:rFonts w:ascii="JetBrains Mono" w:cs="JetBrains Mono" w:eastAsia="JetBrains Mono" w:hAnsi="JetBrains Mono"/>
          <w:b/>
          <w:bCs/>
          <w:color w:val="D9763A"/>
          <w:sz w:val="20"/>
          <w:szCs w:val="20"/>
        </w:rPr>
        <w:t xml:space="preserve">Q-15  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Trust driver taxonomy — confirm reliability / integrity / benevolence / security-privacy as the drivers, and the Trust Index formula (proposed net: %positive-trust − %negative-trust on the normalized scale).</w:t>
      </w:r>
    </w:p>
    <w:p>
      <w:r>
        <w:br w:type="page"/>
      </w:r>
    </w:p>
    <w:p>
      <w:pPr>
        <w:spacing w:after="80" w:before="360"/>
      </w:pPr>
      <w:r>
        <w:rPr>
          <w:rFonts w:ascii="Inter" w:cs="Inter" w:eastAsia="Inter" w:hAnsi="Inter"/>
          <w:b/>
          <w:bCs/>
          <w:color w:val="6B6F76"/>
          <w:spacing w:val="40"/>
          <w:sz w:val="17"/>
          <w:szCs w:val="17"/>
        </w:rPr>
        <w:t xml:space="preserve">APPROVAL</w:t>
      </w:r>
    </w:p>
    <w:p>
      <w:pPr>
        <w:pBdr>
          <w:bottom w:val="single" w:color="1A1D21" w:sz="12" w:space="1"/>
        </w:pBdr>
        <w:spacing w:after="80"/>
        <w:ind w:right="8740"/>
      </w:pPr>
      <w:r>
        <w:rPr>
          <w:sz w:val="2"/>
          <w:szCs w:val="2"/>
        </w:rPr>
        <w:t xml:space="preserve"/>
      </w:r>
    </w:p>
    <w:p>
      <w:pPr>
        <w:pStyle w:val="Heading1"/>
        <w:spacing w:after="160" w:before="120"/>
      </w:pPr>
      <w:r>
        <w:rPr>
          <w:rFonts w:ascii="Fraunces" w:cs="Fraunces" w:eastAsia="Fraunces" w:hAnsi="Fraunces"/>
          <w:b/>
          <w:bCs/>
          <w:color w:val="1A1D21"/>
          <w:sz w:val="40"/>
          <w:szCs w:val="40"/>
        </w:rPr>
        <w:t xml:space="preserve">The Phase-1 gate</w:t>
      </w:r>
    </w:p>
    <w:p>
      <w:pPr>
        <w:spacing w:after="0" w:before="260"/>
      </w:pPr>
      <w:r>
        <w:rPr>
          <w:rFonts w:ascii="Inter" w:cs="Inter" w:eastAsia="Inter" w:hAnsi="Inter"/>
          <w:color w:val="1A1D21"/>
          <w:sz w:val="21"/>
          <w:szCs w:val="21"/>
        </w:rPr>
        <w:t xml:space="preserve">Approved by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______________________________</w:t>
      </w:r>
      <w:r>
        <w:rPr>
          <w:rFonts w:ascii="Inter" w:cs="Inter" w:eastAsia="Inter" w:hAnsi="Inter"/>
          <w:color w:val="1A1D21"/>
          <w:sz w:val="21"/>
          <w:szCs w:val="21"/>
        </w:rPr>
        <w:t xml:space="preserve">     Date </w:t>
      </w:r>
      <w:r>
        <w:rPr>
          <w:rFonts w:ascii="Inter" w:cs="Inter" w:eastAsia="Inter" w:hAnsi="Inter"/>
          <w:color w:val="6B6F76"/>
          <w:sz w:val="21"/>
          <w:szCs w:val="21"/>
        </w:rPr>
        <w:t xml:space="preserve">____________________</w:t>
      </w:r>
    </w:p>
    <w:p>
      <w:pPr>
        <w:pBdr>
          <w:top w:val="single" w:color="E5E2DA" w:sz="8" w:space="6"/>
        </w:pBdr>
        <w:spacing w:before="400"/>
      </w:pPr>
      <w:r>
        <w:rPr>
          <w:rFonts w:ascii="Inter" w:cs="Inter" w:eastAsia="Inter" w:hAnsi="Inter"/>
          <w:i/>
          <w:iCs/>
          <w:color w:val="6B6F76"/>
          <w:sz w:val="18"/>
          <w:szCs w:val="18"/>
        </w:rPr>
        <w:t xml:space="preserve">Prepared by Active AI Advisors under the Grounded AI™ methodology. Every phase produces an artifact you own.</w:t>
      </w:r>
    </w:p>
    <w:p>
      <w:pPr>
        <w:spacing w:before="60"/>
      </w:pPr>
      <w:r>
        <w:rPr>
          <w:rFonts w:ascii="Inter" w:cs="Inter" w:eastAsia="Inter" w:hAnsi="Inter"/>
          <w:color w:val="6B6F76"/>
          <w:sz w:val="18"/>
          <w:szCs w:val="18"/>
        </w:rPr>
        <w:t xml:space="preserve">Active AI Advisors · paul@activeaiadvisors.com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Inter" w:cs="Inter" w:eastAsia="Inter" w:hAnsi="Inter"/>
        <w:color w:val="D9763A"/>
      </w:rPr>
    </w:lvl>
    <w:lvl w:ilvl="1" w15:tentative="1">
      <w:start w:val="1"/>
      <w:numFmt w:val="bullet"/>
      <w:lvlText w:val="–"/>
      <w:lvlJc w:val="left"/>
      <w:pPr>
        <w:ind w:left="720" w:hanging="220"/>
      </w:pPr>
      <w:rPr>
        <w:rFonts w:ascii="Inter" w:cs="Inter" w:eastAsia="Inter" w:hAnsi="Inter"/>
        <w:color w:val="6B6F7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Fraunces" w:cs="Fraunces" w:eastAsia="Fraunces" w:hAnsi="Fraunces"/>
      <w:b/>
      <w:bCs/>
      <w:color w:val="1A1D21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Inter" w:cs="Inter" w:eastAsia="Inter" w:hAnsi="Inter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312affa6f30b45294b7722d6925a0ad183f1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2026-07-14T18:38:43.329Z</dcterms:created>
  <dcterms:modified xsi:type="dcterms:W3CDTF">2026-07-14T18:38:43.344Z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