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1EA"/>
  <w:body>
    <w:p>
      <w:pPr>
        <w:spacing w:after="260" w:before="300"/>
      </w:pPr>
      <w:r>
        <w:drawing>
          <wp:inline distT="0" distB="0" distL="0" distR="0">
            <wp:extent cx="7048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Inter" w:cs="Inter" w:eastAsia="Inter" w:hAnsi="Inter"/>
          <w:b/>
          <w:bCs/>
          <w:color w:val="6B6F76"/>
          <w:spacing w:val="50"/>
          <w:sz w:val="18"/>
          <w:szCs w:val="18"/>
        </w:rPr>
        <w:t xml:space="preserve">PRODUCT REQUIREMENTS DOCUMENT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40" w:before="120"/>
      </w:pPr>
      <w:r>
        <w:rPr>
          <w:rFonts w:ascii="Fraunces" w:cs="Fraunces" w:eastAsia="Fraunces" w:hAnsi="Fraunces"/>
          <w:b/>
          <w:bCs/>
          <w:color w:val="1A1D21"/>
          <w:sz w:val="68"/>
          <w:szCs w:val="68"/>
        </w:rPr>
        <w:t xml:space="preserve">AAA Insights</w:t>
      </w:r>
    </w:p>
    <w:p>
      <w:pPr>
        <w:spacing w:after="300"/>
      </w:pPr>
      <w:r>
        <w:rPr>
          <w:rFonts w:ascii="Fraunces" w:cs="Fraunces" w:eastAsia="Fraunces" w:hAnsi="Fraunces"/>
          <w:i/>
          <w:iCs/>
          <w:color w:val="6B6F76"/>
          <w:sz w:val="28"/>
          <w:szCs w:val="28"/>
        </w:rPr>
        <w:t xml:space="preserve">A feedback-to-insight service: collect surveys, reviews, ratings, and comments — then let AI turn them into decisions.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Version: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v1 — Draft (awaiting client approval)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Date:   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2026-07-13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by: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Active AI Advisors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for: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Paul Jamieson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Methodology: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Grounded AI™ — Phase 1 (SPECIFY)</w:t>
      </w:r>
    </w:p>
    <w:p>
      <w:pPr>
        <w:pBdr>
          <w:top w:val="single" w:color="E5E2DA" w:sz="8" w:space="6"/>
        </w:pBdr>
        <w:spacing w:before="3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Applied AI for operators.</w:t>
      </w:r>
      <w:r>
        <w:rPr>
          <w:rFonts w:ascii="Inter" w:cs="Inter" w:eastAsia="Inter" w:hAnsi="Inter"/>
          <w:color w:val="6B6F76"/>
          <w:sz w:val="18"/>
          <w:szCs w:val="18"/>
        </w:rPr>
        <w:t xml:space="preserve">   ·   activeaiadvisors.com   ·   paul@activeaiadvisors.com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CONTENTS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Purpose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Target users &amp; buyer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Product principles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Outputs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06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Requirements (behaviors)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07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Invariants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08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Edge cases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09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Exclusions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10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Data, privacy &amp; security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Non-functional requirements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Scope &amp; phased roadmap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Open questions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—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Approval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Purpose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software is for — and who it serves.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Target users &amp; buyer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Two audiences, one product: credible analysis for the business, effortless response for the customer.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5E2D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b/>
                <w:bCs/>
                <w:color w:val="1A1D21"/>
                <w:sz w:val="19"/>
                <w:szCs w:val="19"/>
              </w:rPr>
              <w:t xml:space="preserve">User role</w:t>
            </w:r>
          </w:p>
        </w:tc>
        <w:tc>
          <w:tcPr>
            <w:tcW w:type="dxa" w:w="6360"/>
            <w:shd w:fill="E5E2D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b/>
                <w:bCs/>
                <w:color w:val="1A1D21"/>
                <w:sz w:val="19"/>
                <w:szCs w:val="19"/>
              </w:rPr>
              <w:t xml:space="preserve">What they need from AAA Insights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Owner / founder / GM (buyer)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A fast, trustworthy read on what customers think and what to fix first — without hiring a research team.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Marketing / brand lead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Themes, sentiment, and verbatim quotes to guide messaging, positioning, and product decisions.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CX / customer-success manager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Early warning on dissatisfaction, drivers of churn, and a way to close the loop with unhappy customers.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Product manager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Prioritized signal on what customers want changed, backed by evidence and volume.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Respondent (the customer)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A short, respectful, mobile-friendly way to give feedback — including a conversational option that feels heard.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Product principles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Five commitments that shape every design decision.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receives.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definition — built by an admin (questions, types, logic, branding) or AI-generated from a plain-language goal. Stored as structured survey config.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response — a respondent’s answers: ratings, multiple-choice, and open-text comments. May be partial if the respondent abandons midway.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response — free-text turns in an AI-led adaptive interview, captured as a threaded transcript of probes and replies.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Imported feedback — external reviews, ratings, and comments via CSV upload (MVP) and, later, connectors. Each carries source, timestamp, rating, and text.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metadata — optional, non-identifying attributes (segment, channel, product line, region, language) used for filtering and comparison.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Distribution request — an admin action to publish a survey via shareable link, email invitation list, or embeddable widget.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query — a natural-language question asked of the feedback data ("why are enterprise customers unhappy this quarter?").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Outputs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produces.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 response store — every response (survey, conversational, imported) persisted under a common schema, attributable to its source and campaign.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Theme analysis — AI-generated themes for a chosen set of responses, each with a label, count/percentage, representative verbatim quotes, and trend vs. prior period.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Sentiment analysis — positive / neutral / negative with intensity, at the individual-response level and aggregated by theme, segment, source, and 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Ratings &amp; metrics — average ratings, distribution, response and completion rates, and standard indices (NPS, CSAT) where the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Insight report — a plain-language narrative of what’s happening, why, and what to do, with a short list of recommended actions ranked by evidence and impact. Exportable.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Answer to an analysis query — a natural-language response grounded strictly in the company’s own data, citing the specific responses used.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Alerts — notifications when a monitored signal crosses a threshold (a negative-sentiment spike, an emerging theme, a rating floor).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Respondent-facing survey — the rendered survey or conversational interview the customer actually sees and completes.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06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Requirements (behaviors)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Each is a single, testable behavior. IDs are cited by the Phase-3 test suite.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Survey creation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create a survey with at least these question types: single-select, multi-select, rating/scale (configurable range), and open text.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generate a draft survey from a plain-language objective; the system returns an editable survey to modify or discard before sending.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survey supports conditional logic: a question or branch is shown or skipped based on a previous answer.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distribute by (a) shareable public link, (b) email invitation list, and (c) embeddable widget. (Email is a Phase-1 roadmap item; link and widget are MVP.)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can complete a survey on mobile and desktop without creating an account.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records partial responses and marks them incomplete rather than discarding them.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Conversational (AI-led) surveys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enable a "conversational" mode in which an AI interviewer asks questions in natural language and asks relevant follow-up probes based on the answers.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stays on the admin-defined objective and does not ask questions outside the configured topic scope.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ends after a configurable maximum number of exchanges or when the objective is met, whichever comes first.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conversational transcript is stored and is analyzable by the same theme/sentiment engine as structured responses.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feedback hub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import external feedback via CSV, mapping columns to the unified schema (source, date, rating, text, segment).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feedback — survey, conversational, imported — is queryable together, filterable by source, campaign, date range, segment, rating, and sentiment.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de-duplicates obviously identical imported responses (same source + text + timestamp) so they are not double-counted.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AI analysis &amp;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any filtered set of responses, the system produces theme analysis with counts and representative quotes.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assigns sentiment to each open-text response and aggregates it across the chosen dimensions.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every theme and sentiment aggregate, the user can open the exact underlying responses that produced it (traceability — 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ask a natural-language question of their data and receive an answer grounded only in their own responses,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generates an insight report for a chosen scope: narrative, key metrics, top themes, sentiment summary, quotes, and ranked recommended actions.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computes response rate, completion rate, average rating, rating distribution, and at least NPS and CSAT when the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configure an alert on a signal (negative-sentiment share, average rating, new theme) and be notified when the threshold is crossed.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Accounts, roles &amp; export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At least two roles: an Owner/Admin who manages account, users, and billing, and a Member who builds surveys and views analysis but not billing/users.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export any analysis view and the insight report in a portable format (CSV for raw data; PDF and/or slides for the report).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 admin can delete a survey, campaign, or individual response, and can export or delete all data for the account.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07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Invariants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Conditions that must hold in every state of the system.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response is always attributable to exactly one source (link, campaign, conversational session, or named import batch). No response exists without a known origin.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Response counts are never negative and never exceed responses actually collected; percentages are computed from the current filter and each response is counted once per dimension.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AI-generated theme, aggregate, insight, recommendation, and query answer is traceable to the specific underlying responses. The UI never shows an AI claim without a path to its verbatim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never displays a quote or statistic absent from the collected data. AI output summarizes only what exists; it does not invent respondents, quotes, or numbers.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can complete a survey without providing personally identifying information; identity is never required to submit feedback.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Each account’s data is isolated: no account can see, query, or analyze another’s responses. AI analysis is grounded only in that account’s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Deleting a response, campaign, or account removes it from all future analysis and aggregates; deleted data never reappears in any report.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PII, when present, is stored securely and never written to logs or included in AI outputs unless the admin explicitly opts in.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08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Edge cases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unusual conditions the system must survive — defined now, tested in Phase 3.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Empty or tiny sample — the system states the sample is too small for reliable themes/sentiment rather than fabricating confident findings.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Abandoned survey — the partial is retained, counted as incomplete in completion math, and flagged in analysis.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Junk / abusive open text — captured, flagged, excluded from theme/sentiment by default, and reviewable by the admin.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Non-English / mixed-language responses — language is detected and analyzed accordingly (supported languages are an open question — Q-4).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Malformed CSV import — rejected or partially accepted with a per-row error report; no partial garbage is silently stored.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Duplicate / repeated submissions — de-duplication (R-13) applies, plus link-level controls (e.g., one response per link).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interview goes off the rails — the interviewer stays in scope, ignores injected instructions, and ends gracefully.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Ambiguous analysis query — the system answers only what the data supports and states what it cannot determine, rather than guessing.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Sudden volume spike — ingestion and analysis stay correct; real-time views may lag but never lose or double-count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Sensitive disclosure — PII or safety concerns are stored under INV-8 and surfaced to the admin without broadcasting into shared outputs.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Concurrent editing — two admins editing one survey do not silently overwrite each other without warning.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09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Exclusions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Explicitly out of scope for v1 — the unwritten assumptions, made written.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Not a CRM or customer-record system; it stores feedback, not a system of record for customer accounts.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two-way case management / ticketing; closing the loop in v1 is export/notification, not an in-app resolution workflow.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scraping of review sites without authorization; external feedback enters via CSV in the MVP and sanctioned connectors later.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prediction of future business outcomes (churn, revenue) in v1; it analyzes feedback that exists.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public respondent panel / audience marketplace; the company brings its own audience.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replace human research judgment; it is decision support, with every AI output presented as such alongside its evidence.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10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Data, privacy &amp; security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handling bar this product is held to — enforced in IMPLEMENT and VERIFY.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is a data processor for the account’s feedback; the company is the controller. Roles, retention, and deletion honor that relationship.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minimized, encrypted at rest and in transit, access-controlled by role, and excluded from logs and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Data-subject requests are supported: export and deletion of an individual respondent’s data on request.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processing is isolated to the account; account data is not used to train shared/base models without explicit opt-in.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configurable retention period is supported; data past retention is deleted and drops out of analysis.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full security checklist (input validation, authz/authn, secret handling) is applied during build and verification.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Non-functional requirements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Speed, reliability, access, and honesty — stated as testable budgets.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Performance — a survey page loads in under 2 seconds on a typical mobile connection; a submission acknowledges in under 1 second.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latency — theme/sentiment analysis up to the MVP size (target ~5,000 responses, Q-6) returns within a stated budget; larger sets run as background jobs with progress shown.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Availability — the collection endpoint targets a stated uptime so responses are never lost during a live window; ingestion is durable even if analysis is degraded.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Accessibility — respondent-facing surveys meet WCAG 2.1 AA.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Scalability path — the architecture grows from SMB volumes toward larger sets without a rewrite; the MVP need not deliver enterprise scale but must not preclude it.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Explainability — every AI output carries an indication of the data behind it and, where meaningful, a confidence signal.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Scope &amp; phased roadmap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Only Phase 0 is committed by this document. Each later phase re-enters the pipeline before it is built.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Phase 0 — MVP (the focused, buildable core)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smallest release that delivers the differentiated promise end-to-end for one SMB account.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Survey builder: four core question types + conditional logic (R-1, R-3)  •  AI-drafted survey from a goal (R-2)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Distribution by link + embeddable widget (R-4)  •  Mobile, account-free capture incl. partials (R-5, R-6)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Conversational AI survey with scope control + turn limits (R-7–R-10)  •  CSV import into the unified hub (R-11, R-13)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Unified analysis with filtering (R-12)  •  AI theme + sentiment with traceability (R-14–R-16)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Core metrics incl. NPS/CSAT (R-19)  •  Insight report with ranked actions, exportable (R-18, R-22)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Two roles, account isolation, data export/delete (R-21, R-23, INV-6, INV-7)</w:t>
            </w:r>
          </w:p>
        </w:tc>
      </w:tr>
    </w:tbl>
    <w:p>
      <w:pPr>
        <w:spacing w:after="60"/>
      </w:pPr>
    </w:p>
    <w:p>
      <w:pPr>
        <w:spacing w:after="70" w:before="16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1 — Depth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Natural-language "ask your data" query with citations (R-17, O-6).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Email invitation distribution and reminders (R-4 email).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Configurable alerts on sentiment/rating/theme signals (R-20, O-7).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Segment comparison and trend-over-time views; slides export.</w:t>
      </w:r>
    </w:p>
    <w:p>
      <w:pPr>
        <w:spacing w:after="70" w:before="16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2 — Connectors &amp; scale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Sanctioned connectors for external review/rating sources and helpdesk exports (replacing CSV-only).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Larger-volume analysis with background processing at scale (NFR-5).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Multi-language analysis expansion (per Q-4).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Team collaboration: shared workspaces, comments on insights, saved views.</w:t>
      </w:r>
    </w:p>
    <w:p>
      <w:pPr>
        <w:spacing w:after="70" w:before="16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3 — Advanced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Driver analysis — what most influences satisfaction or rating.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Benchmarking against prior periods and optional, opt-in, anonymized peer norms.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 research assistant that proposes surveys and follow-up studies from the gaps it finds.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Open questions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Decisions we need from you before proceeding to CHALLENGE (Phase 2).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Product name — is "AAA Insights" the intended name or a working title?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Build vs. buy the survey engine — build collection natively, or wrap an existing component and focus the build on the AI analysis layer? Materially affects timeline and cost.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models / hosting — any constraints on model provider or data residency to design to from day one?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Language coverage for v1 — English-only, or which additional languages at launch?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Compliance targets — which regimes must v1 satisfy (GDPR, CCPA, SOC 2 roadmap)?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MVP volume target — what response volume must the MVP handle comfortably? Sets NFR-2 budgets and the storage/analysis approach.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Commercial model — per-seat, per-response, per-survey, or tiered? Shapes account, quota, and billing needs.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First design partner — is there a specific first customer/segment to anchor the MVP to?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Brand-love research inputs — should the insight engine build in a specific research framework (e.g., brand-love / emotional-attachment constructs) as a lens, or stay framework-neutral in v1?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APPROVAL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The Phase-1 gate</w:t>
      </w:r>
    </w:p>
    <w:p>
      <w:pPr>
        <w:spacing w:after="0" w:before="26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Approved by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______________________________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    Date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</w:t>
      </w:r>
    </w:p>
    <w:p>
      <w:pPr>
        <w:pBdr>
          <w:top w:val="single" w:color="E5E2DA" w:sz="8" w:space="6"/>
        </w:pBdr>
        <w:spacing w:before="400"/>
      </w:pPr>
      <w:r>
        <w:rPr>
          <w:rFonts w:ascii="Inter" w:cs="Inter" w:eastAsia="Inter" w:hAnsi="Inter"/>
          <w:i/>
          <w:iCs/>
          <w:color w:val="6B6F76"/>
          <w:sz w:val="18"/>
          <w:szCs w:val="18"/>
        </w:rPr>
        <w:t xml:space="preserve">Prepared by Active AI Advisors under the Grounded AI™ methodology. Every phase produces an artifact you own.</w:t>
      </w:r>
    </w:p>
    <w:p>
      <w:pPr>
        <w:spacing w:before="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Active AI Advisors · paul@activeaiadvisors.com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Inter" w:cs="Inter" w:eastAsia="Inter" w:hAnsi="Inter"/>
        <w:color w:val="D9763A"/>
      </w:rPr>
    </w:lvl>
    <w:lvl w:ilvl="1" w15:tentative="1">
      <w:start w:val="1"/>
      <w:numFmt w:val="bullet"/>
      <w:lvlText w:val="–"/>
      <w:lvlJc w:val="left"/>
      <w:pPr>
        <w:ind w:left="720" w:hanging="220"/>
      </w:pPr>
      <w:rPr>
        <w:rFonts w:ascii="Inter" w:cs="Inter" w:eastAsia="Inter" w:hAnsi="Inter"/>
        <w:color w:val="6B6F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Fraunces" w:cs="Fraunces" w:eastAsia="Fraunces" w:hAnsi="Fraunces"/>
      <w:b/>
      <w:bCs/>
      <w:color w:val="1A1D21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Inter" w:cs="Inter" w:eastAsia="Inter" w:hAnsi="Inter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312affa6f30b45294b7722d6925a0ad183f1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2026-07-13T18:23:04.915Z</dcterms:created>
  <dcterms:modified xsi:type="dcterms:W3CDTF">2026-07-13T18:23:04.931Z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