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1EA"/>
  <w:body>
    <w:p>
      <w:pPr>
        <w:spacing w:after="260" w:before="300"/>
      </w:pPr>
      <w:r>
        <w:drawing>
          <wp:inline distT="0" distB="0" distL="0" distR="0">
            <wp:extent cx="70485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Inter" w:cs="Inter" w:eastAsia="Inter" w:hAnsi="Inter"/>
          <w:b/>
          <w:bCs/>
          <w:color w:val="6B6F76"/>
          <w:spacing w:val="50"/>
          <w:sz w:val="18"/>
          <w:szCs w:val="18"/>
        </w:rPr>
        <w:t xml:space="preserve">PRODUCT REQUIREMENTS DOCUMENT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40" w:before="120"/>
      </w:pPr>
      <w:r>
        <w:rPr>
          <w:rFonts w:ascii="Fraunces" w:cs="Fraunces" w:eastAsia="Fraunces" w:hAnsi="Fraunces"/>
          <w:b/>
          <w:bCs/>
          <w:color w:val="1A1D21"/>
          <w:sz w:val="68"/>
          <w:szCs w:val="68"/>
        </w:rPr>
        <w:t xml:space="preserve">AAA Insights</w:t>
      </w:r>
    </w:p>
    <w:p>
      <w:pPr>
        <w:spacing w:after="300"/>
      </w:pPr>
      <w:r>
        <w:rPr>
          <w:rFonts w:ascii="Fraunces" w:cs="Fraunces" w:eastAsia="Fraunces" w:hAnsi="Fraunces"/>
          <w:i/>
          <w:iCs/>
          <w:color w:val="6B6F76"/>
          <w:sz w:val="27"/>
          <w:szCs w:val="27"/>
        </w:rPr>
        <w:t xml:space="preserve">Collect surveys, reviews, ratings, and comments — then let AI turn them into customer and competitive insight.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Version: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v2 — Draft (revised per client input)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Date:   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2026-07-13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by: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Active AI Advisors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for: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Paul Jamieson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Methodology: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Grounded AI™ — Phase 1 (SPECIFY)</w:t>
      </w:r>
    </w:p>
    <w:p>
      <w:pPr>
        <w:pBdr>
          <w:top w:val="single" w:color="E5E2DA" w:sz="8" w:space="6"/>
        </w:pBdr>
        <w:spacing w:before="3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Applied AI for operators.</w:t>
      </w:r>
      <w:r>
        <w:rPr>
          <w:rFonts w:ascii="Inter" w:cs="Inter" w:eastAsia="Inter" w:hAnsi="Inter"/>
          <w:color w:val="6B6F76"/>
          <w:sz w:val="18"/>
          <w:szCs w:val="18"/>
        </w:rPr>
        <w:t xml:space="preserve">   ·   activeaiadvisors.com   ·   paul@activeaiadvisors.com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WHAT CHANGED IN V2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Revised 2026-07-13 per client direction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Aggregate "unified customer" view across all feedback sources — identity stays optional (population, not person).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Competitors as first-class brands — aggregate benchmarking and per-competitor deep-dives.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Feedback collection from public web / review APIs / licensed providers / CSV, under compliance guardrails + a legal-review gate.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Brand Love scale (Love / Like / Ambiguity / Dislike / Hate) as a question type, a normalized metric, and a benchmark lens.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A new explicit data model (Section 12).</w:t>
            </w:r>
          </w:p>
        </w:tc>
      </w:tr>
    </w:tbl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CONTENTS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Purpose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Target users &amp; buyer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Product principles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05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Outputs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06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Requirements (behaviors)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07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Invariants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08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Edge cases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09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Exclusions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10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Data, privacy &amp; security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Non-functional requirements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 model (logical)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Scope &amp; phased roadmap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Open questions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—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Approval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Purpose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software is for — and who it serves.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Target users &amp; buyer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Two audiences, one product: credible analysis for the business, effortless response for the customer.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User role</w:t>
            </w:r>
          </w:p>
        </w:tc>
        <w:tc>
          <w:tcPr>
            <w:tcW w:type="dxa" w:w="63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What they need from AAA Insights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Owner / founder / GM (buyer)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 fast, trustworthy read on what customers think, how the brand compares to rivals, and what to fix first.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Marketing / brand lead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Themes, sentiment, brand-love, quotes, and competitive position to guide messaging and positioning.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CX / customer-success manager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Early warning on dissatisfaction, drivers of churn, and a way to close the loop with unhappy customers.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Product manager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Prioritized signal on what customers want changed, backed by evidence and volume.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Respondent (the customer)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 short, respectful, mobile-friendly way to give feedback — including a conversational option that feels heard.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Product principles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Six commitments that shape every design decision.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receives.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definition — built by an admin or AI-generated from a goal. Question types include the Brand Love scale (Love / Like / Ambiguity / Dislike / Hate).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response — ratings (incl. Brand Love), multiple-choice, and open-text comments. May be partial.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response — free-text turns in an AI-led adaptive interview, as a threaded transcript.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Imported feedback — external reviews/ratings/comments for the company’s own brand via CSV (source, timestamp, rating, text).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metadata — optional, non-identifying attributes (segment, channel, product, region, language).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Distribution request — publish a survey via link, email list, or widget.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Analysis query — a natural-language question asked of the feedback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 configuration — the set of competitor brands to track: names, aliases, products, and the public sources where their reviews live.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Externally-collected feedback — reviews/ratings/comments about the own brand and tracked competitors, from public web pages, review-site APIs, or a licensed provider. Each item carries source URL, capture date, brand, rating, text.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05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Outputs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produces.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Collected response store — every response (survey, conversational, imported, web-collected) persisted under a common schema, attributable to source, brand, and campaign.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Theme analysis — AI-generated themes with counts, representative quotes, and trend vs. prior period. Filterable by brand.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Sentiment analysis — positive / neutral / negative with intensity, per response and aggregated by theme, segment, source, brand, and time.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Ratings &amp; metrics — average ratings, distribution, response/completion rates, and NPS/CSAT where questions qualify.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Insight report — a plain-language narrative of what’s happening, why, and what to do, with ranked actions; can include the competitive picture. Exportable.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Answer to an analysis query — grounded strictly in the account’s own data, citing the responses used.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Alerts — notifications when a monitored signal crosses a threshold.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Respondent-facing survey — the rendered survey or conversational interview.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Competitive benchmark — the company’s brand vs. competitors on ratings, Brand Love, sentiment, and themes over a chosen period.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Per-competitor analysis — for a selected competitor, an aggregate view of its customers’ themes, sentiment, ratings, and Brand Love, traceable to underlying public reviews.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Brand Love read — the distribution across Love / Like / Ambiguity / Dislike / Hate and a Brand Love Index (share of Love+Like minus share of Dislike+Hate), for the company and per competitor, over time.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06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Requirements (behaviors)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Each is a single, testable behavior. IDs are cited by the Phase-3 test suite.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Survey creation &amp; distribution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Create a survey with at least: single-select, multi-select, rating/scale, open text, and the Brand Love scale (Love / Like / Ambiguity / Dislike / Hate).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Generate a draft survey from a plain-language objective; editable before sending.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Conditional logic: a question or branch is shown or skipped based on a previous answer.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Distribute by (a) link, (b) email list, and (c) embeddable widget. (Email is Phase-1; link + widget are MVP.)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completes a survey on mobile and desktop without creating an account.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Partial responses are recorded and marked incomplete, not discarded.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Conversational (AI-led) surveys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Enable a conversational mode where an AI interviewer asks questions and relevant follow-up probes in natural language.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stays on the admin-defined objective and does not ask outside the topic scope.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ends after a configurable max number of exchanges or when the objective is met.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transcript is stored and analyzable by the same engine as structured responses.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feedback hub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 external feedback via CSV, mapping columns to the unified schema (brand, source, date, rating, text, segment).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feedback — survey, conversational, imported, web-collected — is queryable together, filterable by brand, source, campaign, date, segment, rating, sentiment.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De-duplicate obviously identical items (same source + text + timestamp).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Brand Love &amp; metrics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theme analysis with counts and representative quotes for any filtered set.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Assign sentiment to each open-text response and aggregate across chosen dimensions.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every theme, sentiment aggregate, and Brand Love read, open the exact underlying responses (traceability — INV-3).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Record Brand Love on the five-point scale, normalize to an ordinal, and compute the Brand Love distribution and Index (O-11) — including inferring a Brand Love read from open text where no direct rating exists, clearly labeled as inferred (INV-4).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customer &amp; competitive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an aggregate, cross-source "unified customer" view of the account’s customer base — one combined read across all sources and time — WITHOUT building or requiring an identity-linked individual profile (INV-9).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Define and manage a set of competitor brands to track (I-8).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 publicly available reviews/ratings/comments about the own brand and tracked competitors from configured sources (review APIs, licensed provider, and/or public web) — subject to §10 (DPS-7) and a legal-review gate before live collection is enabled.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Benchmark the company’s brand vs. competitors on ratings, Brand Love, sentiment, and themes over a chosen period (O-9).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a selected competitor, produce per-competitor aggregate analysis (O-10) traceable to underlying public reviews.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brand/competitor analysis is filterable by brand, source, date, segment, and sentiment, and every competitor figure links to its source items.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AI analysis, accounts, roles, export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Ask a natural-language question and receive an answer grounded only in the account’s own data, with citations.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Generate an insight report: narrative, metrics, top themes, sentiment, Brand Love, competitive comparison, quotes, ranked actions.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Compute response rate, completion rate, average rating, rating distribution, and NPS/CSAT when questions qualify.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Configure an alert on a signal (negative-sentiment share, average rating, Brand Love Index, new theme) with notification when crossed.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At least two roles: Owner/Admin (account, users, billing) and Member (builds surveys, views analysis).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Export any analysis view and the insight report (CSV for raw data; PDF and/or slides for the report).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Delete a survey, campaign, or response, and export or delete all account data.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07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Invariants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Conditions that must hold in every state of the system.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response is attributable to exactly one source AND one brand. No response exists without a known origin.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Counts are never negative and never exceed responses collected; percentages come from the current filter, each response counted once per dimension.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theme, aggregate, Brand Love read, insight, recommendation, and query answer is traceable to its underlying responses. No AI claim without a path to its verbatim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never shows a quote or statistic absent from the data, and labels any value it inferred (e.g., Brand Love from text) as inferred, not stated.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can complete a survey without providing identifying information; identity is never required.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Each account’s data is isolated; AI analysis is grounded only in that account’s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Deleting a response, campaign, or account removes it from all future analysis; deleted data never reappears.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stored securely and never written to logs or AI outputs unless the admin opts in.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"unified customer" view is always aggregate. The system does not construct or expose an identity-resolved profile of any individual — customer or competitor customer.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Externally-collected data is only ever publicly available and lawfully obtained. The system never bypasses authentication, paywalls, or technical controls, and keeps provenance (source, URL, capture date) on every item.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Personal data in public reviews (names, handles) is minimized, never used to build a profile, and excluded from AI outputs by default.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08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Edge cases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unusual conditions the system must survive — defined now, tested in Phase 3.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Empty or tiny sample — states the sample is too small rather than fabricating confidence.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Abandoned survey — the partial is retained, counted as incomplete, flagged in analysis.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Junk / abusive open text — captured, flagged, excluded from analysis by default, reviewable.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Non-English / mixed-language — language detected and analyzed accordingly (Q-4).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Malformed CSV import — rejected or partially accepted with a per-row error report.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Duplicate / repeated submissions — de-duplication plus link-level controls.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interview off the rails — stays in scope, ignores injected instructions, ends gracefully.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Ambiguous analysis query — answers only what the data supports; states what it cannot determine.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Sudden volume spike — ingestion and analysis stay correct; views may lag but never lose or double-count.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Sensitive disclosure — PII/safety concerns stored under INV-8/INV-11, surfaced to the admin, not broadcast.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Concurrent editing — two admins editing one survey do not silently overwrite each other.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Source blocks or rate-limits collection — collection backs off, records the gap, never fabricates missing items; coverage/freshness shown honestly.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 identity ambiguity — reviews that may belong to a same-named different entity are flagged low-confidence and excluded from headline figures until confirmed.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Sparse competitor data — too few public reviews shows "insufficient data," not a misleading number.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Mixed rating scales — 5-star, 10-point, thumbs, Brand Love each normalized to the common scale; un-mappable ratings stored raw and excluded from cross-source averages.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09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Exclusions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Explicitly out of scope for v1 — the unwritten assumptions, made written.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Not a CRM or customer-record system; stores feedback, not a system of record, and does not build identity-resolved individual profiles.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two-way case management / ticketing; closing the loop in v1 is export/notification.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is limited to publicly available content obtained lawfully via APIs, licensed providers, or public web pages under the DPS-7 guardrails. The system does NOT access private/authenticated content, bypass logins or paywalls, circumvent technical protections, or collect data a source’s terms prohibit.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prediction of future business outcomes (churn, revenue) in v1.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public respondent panel / audience marketplace; the company brings its own audience.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replace human research judgment; it is decision support, with every AI output shown alongside its evidence.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attempt to re-identify individuals, link competitor reviewers to real people, or merge scraped personal data into any profile.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10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Data, privacy &amp; security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handling bar this product is held to — enforced in build and verification.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is a data processor for the account’s feedback; the company is the controller.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minimized, encrypted at rest and in transit, access-controlled by role, and excluded from logs and AI outputs by default.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Data-subject requests are supported: export and deletion on request.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processing is isolated to the account; account data is not used to train shared/base models without opt-in.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configurable retention period is supported for both first-party and collected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full security checklist (input validation, authz/authn, secret handling) is applied during build and verification.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DPS-7 — Web / data-collection compliance (v2)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Lawful and ethical by construction — with a legal-review gate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Collect only publicly accessible content. Respect robots.txt and reasonable rate limits.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Never bypass authentication, paywalls, or technical protections. Prefer official APIs and licensed providers over page collection.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Keep provenance (source, URL, capture date) on every item. Minimize and never profile personal data in reviews (INV-11). Honor source-specific terms.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 specific sources and methods are subject to the client’s legal review and written sign-off BEFORE live collection is enabled — a gate, not a default.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Active AI Advisors is not providing legal advice; the client should confirm the approach with counsel.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Non-functional requirements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Speed, reliability, access, and honesty — stated as testable budgets.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Performance — a survey page loads under 2 s on mobile; a submission acknowledges under 1 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Analysis latency — up to the MVP size (~5,000 items, Q-6) returns within a stated budget; larger sets run as background jobs with progress.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Availability — the collection endpoint targets a stated uptime; ingestion is durable even if analysis is degraded.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Accessibility — respondent-facing surveys meet WCAG 2.1 AA.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Scalability path — grows from SMB volumes toward larger sets without a rewrite.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Explainability — every AI output carries the data behind it and, where meaningful, a confidence signal.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freshness &amp; politeness — collected data shows a freshness/coverage indicator; collection runs at a polite, configurable rate and records gaps rather than guessing.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 model (logical)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records the system keeps and how they relate. Physical schema is an Architecture-phase decision; this defines what is stored, not how.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Brand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a company or competitor whose feedback is analyzed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name / aliases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Display name and alternates used to match reviews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type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 or competitor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products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Optional product / line names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tracked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Whether active collection is enabled</w:t>
            </w:r>
          </w:p>
        </w:tc>
      </w:tr>
    </w:tbl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Source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where a piece of feedback came from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source_id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type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survey · conversational · import_csv · web · api · provider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name / url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Human name and, for web/API, the location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terms_note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Compliance note / permitted-use flag (DPS-7)</w:t>
            </w:r>
          </w:p>
        </w:tc>
      </w:tr>
    </w:tbl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FeedbackRecord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the core record — one rating and/or comment about one brand (the "database of brand ratings, date, comments")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account_id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Owning tenant (INV-6)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Which brand this is about — own or competitor (INV-1)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source_id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Where it came from (INV-1)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captured_at / date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When the feedback was given or collected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rating_raw / rating_scale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Original rating and its scale (5_star, 10_pt, nps, csat, brand_love, …)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rating_norm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Rating normalized to a common 1–5 ordinal (E-15)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brand_love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Love / Like / Ambiguity / Dislike / Hate, if applicable — ordinal 5→1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comment_text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open-text comment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language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Detected language (E-4)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segment / region / channel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Optional non-identifying metadata (I-5)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is_complete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Complete vs. partial (R-6)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flags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junk · abuse · safety · low_confidence (E-3, E-13)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provenance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source_url + capture_date, or import_batch (INV-10)</w:t>
            </w:r>
          </w:p>
        </w:tc>
      </w:tr>
    </w:tbl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Sentiment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derived, one per record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record it describes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polarity / intensity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positive / neutral / negative, with strength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model_version / confidence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What produced it and how sure (NFR-6)</w:t>
            </w:r>
          </w:p>
        </w:tc>
      </w:tr>
    </w:tbl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Theme / ThemeAssignment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discovered topics and their links to records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theme_id / label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theme and its plain-language name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scope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Account + optional brand / period it was derived in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 → theme_id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Which records mention the theme, with confidence</w:t>
            </w:r>
          </w:p>
        </w:tc>
      </w:tr>
    </w:tbl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MetricSnapshot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a computed rollup for a brand over a period and filter (O-4, O-9, O-11)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 / period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Brand and time window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metric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avg_rating · nps · csat · brand_love_index · neg_sentiment_share · response_rate · completion_rate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value / filter_context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number and the filter it was computed under (INV-2)</w:t>
            </w:r>
          </w:p>
        </w:tc>
      </w:tr>
    </w:tbl>
    <w:p>
      <w:pPr>
        <w:spacing w:before="200"/>
      </w:pP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Supporting records: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Survey/Campaign (config, status, owning brand), Segment (the named filter the unified-customer view aggregates by), Alert (signal + threshold + brand scope), and Account/User/Role (tenancy and permissions).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On the "unified customer" view (R-26, INV-9)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There is deliberately NO individual-Customer entity holding a person’s identity across records.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 unified view is produced by aggregating FeedbackRecords for an own brand across all sources and time, grouped by Segment — a population read, not a person read.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Scope &amp; phased roadmap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Only Phase 0 is committed by this document. Each later phase re-enters the pipeline before it is built.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Phase 0 — MVP (the focused, buildable core)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Survey builder: core types + Brand Love scale + conditional logic (R-1, R-3, R-30)  •  AI-drafted survey (R-2)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Distribution by link + widget (R-4)  •  Mobile, account-free capture incl. partials (R-5, R-6)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Conversational AI survey with scope control + turn limits (R-7–R-10)  •  CSV import into the unified hub (R-11, R-13)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Unified cross-source analysis + aggregate unified-customer view (R-12, R-26)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AI theme + sentiment + Brand Love with traceability (R-14–R-16, R-30)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Core metrics incl. NPS/CSAT + Brand Love Index (R-19, O-11)  •  Insight report with ranked actions (R-18, R-22)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Two roles, account isolation, data export/delete (R-21, R-23, INV-6, INV-7)</w:t>
            </w:r>
          </w:p>
        </w:tc>
      </w:tr>
    </w:tbl>
    <w:p>
      <w:pPr>
        <w:spacing w:after="60"/>
      </w:pP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1 — Competitive insight &amp; distribution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Competitor configuration and benchmarking (own vs competitors) on ratings, Brand Love, sentiment, themes (R-24, R-27, O-9) — CSV / licensed-provider / API sources first.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Live web collection (R-25, DPS-7) — enabled only after the client’s legal review and sign-off; until then, competitor data flows through CSV/API/provider.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Per-competitor deep-dive (R-28, O-10).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Natural-language "ask your data" query with citations (R-17, O-6).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Email distribution + reminders (R-4 email); configurable alerts (R-20); slides export.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Advisory note — scope &amp; risk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Competitive intelligence and web collection are the biggest additions in v2 and materially expand the build.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 MVP delivers the aggregate unified-customer view and the data model that holds competitor brands; standing up compliant collection (legal review, source integrations, matching/normalization, freshness) is Phase 1 so the MVP is not gated on it.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This sequencing is a recommendation — say the word and we’ll re-weight.</w:t>
            </w:r>
          </w:p>
        </w:tc>
      </w:tr>
    </w:tbl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2 — Connectors &amp; scale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Additional sanctioned connectors; larger-volume background processing (NFR-5); multi-language expansion (Q-4); team collaboration (shared workspaces, comments, saved views).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3 — Advanced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Driver analysis (what most influences rating / Brand Love); benchmarking against prior periods and optional, opt-in, anonymized peer norms; a research assistant that proposes surveys from the gaps it finds.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Open questions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Decisions we need from you before proceeding to CHALLENGE (Phase 2).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Product name — is "AAA Insights" the intended name or a working title?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Build vs. buy the survey engine — build collection natively, or wrap an existing component and focus the build on the AI/analysis layer?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models / hosting — any constraints on model provider or data residency?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Language coverage for v1 — English-only, or which additional languages at launch?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Compliance targets — which regimes must v1 satisfy (GDPR, CCPA, SOC 2 roadmap)?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MVP volume target — what item volume must the MVP handle comfortably?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Commercial model — per-seat, per-response, per-survey, per-competitor, or tiered?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First design partner — a specific first customer/segment to anchor the MVP?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Brand-love framework — resolved: Brand Love is a first-class scale and lens. Remaining: ground it in a published framework (e.g., Ahuvia) for the inferred-from-text read and Index formula? Is "Ambiguity" the final middle label (vs. "Ambivalence"/"Neutral")?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Competitors &amp; sources — which competitors to track first, and which review sources (sites/APIs/providers) matter most in your market?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method &amp; legal sign-off — confirm the API / licensed-provider / public-web mix, and who provides the legal review that gates live web collection (DPS-7). Recommendation: start on APIs/licensed data; add public-web after counsel sign-off.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Rating normalization — confirm the common scale (proposed 1–5) and the Brand Love Index formula (proposed: %(Love+Like) − %(Dislike+Hate)).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Collected-data retention — how long should collected competitor/web data be retained?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APPROVAL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The Phase-1 gate</w:t>
      </w:r>
    </w:p>
    <w:p>
      <w:pPr>
        <w:spacing w:after="0" w:before="26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Approved by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______________________________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    Date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</w:t>
      </w:r>
    </w:p>
    <w:p>
      <w:pPr>
        <w:pBdr>
          <w:top w:val="single" w:color="E5E2DA" w:sz="8" w:space="6"/>
        </w:pBdr>
        <w:spacing w:before="400"/>
      </w:pPr>
      <w:r>
        <w:rPr>
          <w:rFonts w:ascii="Inter" w:cs="Inter" w:eastAsia="Inter" w:hAnsi="Inter"/>
          <w:i/>
          <w:iCs/>
          <w:color w:val="6B6F76"/>
          <w:sz w:val="18"/>
          <w:szCs w:val="18"/>
        </w:rPr>
        <w:t xml:space="preserve">Prepared by Active AI Advisors under the Grounded AI™ methodology. Every phase produces an artifact you own.</w:t>
      </w:r>
    </w:p>
    <w:p>
      <w:pPr>
        <w:spacing w:before="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Active AI Advisors · paul@activeaiadvisors.com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Inter" w:cs="Inter" w:eastAsia="Inter" w:hAnsi="Inter"/>
        <w:color w:val="D9763A"/>
      </w:rPr>
    </w:lvl>
    <w:lvl w:ilvl="1" w15:tentative="1">
      <w:start w:val="1"/>
      <w:numFmt w:val="bullet"/>
      <w:lvlText w:val="–"/>
      <w:lvlJc w:val="left"/>
      <w:pPr>
        <w:ind w:left="720" w:hanging="220"/>
      </w:pPr>
      <w:rPr>
        <w:rFonts w:ascii="Inter" w:cs="Inter" w:eastAsia="Inter" w:hAnsi="Inter"/>
        <w:color w:val="6B6F7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Fraunces" w:cs="Fraunces" w:eastAsia="Fraunces" w:hAnsi="Fraunces"/>
      <w:b/>
      <w:bCs/>
      <w:color w:val="1A1D21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Inter" w:cs="Inter" w:eastAsia="Inter" w:hAnsi="Inter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312affa6f30b45294b7722d6925a0ad183f17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2026-07-13T21:54:46.222Z</dcterms:created>
  <dcterms:modified xsi:type="dcterms:W3CDTF">2026-07-13T21:54:46.237Z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