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 Intelligence Report</w:t>
      </w:r>
    </w:p>
    <w:p>
      <w:pPr>
        <w:jc w:val="center"/>
      </w:pPr>
      <w:r>
        <w:rPr>
          <w:i/>
          <w:sz w:val="28"/>
        </w:rPr>
        <w:t>Understanding the Telco Data Monetization Landscape</w:t>
      </w:r>
    </w:p>
    <w:p/>
    <w:p>
      <w:pPr>
        <w:jc w:val="center"/>
      </w:pPr>
      <w:r>
        <w:t>Fusion | Telco Data Monetization Platform</w:t>
      </w:r>
    </w:p>
    <w:p>
      <w:pPr>
        <w:jc w:val="center"/>
      </w:pPr>
      <w:r>
        <w:t>February 2026</w:t>
      </w:r>
    </w:p>
    <w:p>
      <w:r>
        <w:br w:type="page"/>
      </w:r>
    </w:p>
    <w:p>
      <w:pPr>
        <w:pStyle w:val="Heading1"/>
      </w:pPr>
      <w:r>
        <w:t>Table of Contents</w:t>
      </w:r>
    </w:p>
    <w:p>
      <w:r>
        <w:t>1. Executive Summary</w:t>
      </w:r>
      <w:r>
        <w:tab/>
        <w:tab/>
        <w:tab/>
        <w:tab/>
        <w:tab/>
        <w:tab/>
        <w:tab/>
        <w:tab/>
        <w:t>3</w:t>
      </w:r>
    </w:p>
    <w:p>
      <w:r>
        <w:t>2. Saudi Arabia Context: Vision 2030 &amp; National Data Strategy</w:t>
      </w:r>
      <w:r>
        <w:tab/>
        <w:tab/>
        <w:tab/>
        <w:tab/>
        <w:tab/>
        <w:tab/>
        <w:tab/>
        <w:tab/>
        <w:t>4</w:t>
      </w:r>
    </w:p>
    <w:p>
      <w:r>
        <w:t>3. Giga-Projects &amp; Smart City Opportunity</w:t>
      </w:r>
      <w:r>
        <w:tab/>
        <w:tab/>
        <w:tab/>
        <w:tab/>
        <w:tab/>
        <w:tab/>
        <w:tab/>
        <w:tab/>
        <w:t>6</w:t>
      </w:r>
    </w:p>
    <w:p>
      <w:r>
        <w:t>4. Data Product Trends</w:t>
      </w:r>
      <w:r>
        <w:tab/>
        <w:tab/>
        <w:tab/>
        <w:tab/>
        <w:tab/>
        <w:tab/>
        <w:tab/>
        <w:tab/>
        <w:t>8</w:t>
      </w:r>
    </w:p>
    <w:p>
      <w:r>
        <w:t>5. Market Demand</w:t>
      </w:r>
      <w:r>
        <w:tab/>
        <w:tab/>
        <w:tab/>
        <w:tab/>
        <w:tab/>
        <w:tab/>
        <w:tab/>
        <w:tab/>
        <w:t>11</w:t>
      </w:r>
    </w:p>
    <w:p>
      <w:r>
        <w:t>6. Pricing Models</w:t>
      </w:r>
      <w:r>
        <w:tab/>
        <w:tab/>
        <w:tab/>
        <w:tab/>
        <w:tab/>
        <w:tab/>
        <w:tab/>
        <w:tab/>
        <w:t>13</w:t>
      </w:r>
    </w:p>
    <w:p>
      <w:r>
        <w:t>7. Data Distribution Options</w:t>
      </w:r>
      <w:r>
        <w:tab/>
        <w:tab/>
        <w:tab/>
        <w:tab/>
        <w:tab/>
        <w:tab/>
        <w:tab/>
        <w:tab/>
        <w:t>15</w:t>
      </w:r>
    </w:p>
    <w:p>
      <w:r>
        <w:t>8. References</w:t>
      </w:r>
      <w:r>
        <w:tab/>
        <w:tab/>
        <w:tab/>
        <w:tab/>
        <w:tab/>
        <w:tab/>
        <w:tab/>
        <w:tab/>
        <w:t>17</w:t>
      </w:r>
    </w:p>
    <w:p>
      <w:r>
        <w:br w:type="page"/>
      </w:r>
    </w:p>
    <w:p>
      <w:pPr>
        <w:pStyle w:val="Heading1"/>
      </w:pPr>
      <w:r>
        <w:t>1. Executive Summary</w:t>
      </w:r>
    </w:p>
    <w:p>
      <w:r>
        <w:t>This Market Intelligence report addresses key strategic questions about telco data monetization, providing research, market data, and actionable insights for Fusion.</w:t>
      </w:r>
    </w:p>
    <w:p>
      <w:pPr>
        <w:pStyle w:val="Heading2"/>
      </w:pPr>
      <w:r>
        <w:t>Key Questions Addressed</w:t>
      </w:r>
    </w:p>
    <w:p>
      <w:r>
        <w:rPr>
          <w:b/>
        </w:rPr>
        <w:t>What is the telco data product trend?</w:t>
      </w:r>
    </w:p>
    <w:p>
      <w:pPr>
        <w:pStyle w:val="ListBullet"/>
      </w:pPr>
      <w:r>
        <w:t>Three major shifts: from raw data to privacy-safe insights, from one-off deals to marketplaces, and AI-native use on governed products.</w:t>
      </w:r>
    </w:p>
    <w:p>
      <w:r>
        <w:rPr>
          <w:b/>
        </w:rPr>
        <w:t>What is the market demand for telco data products?</w:t>
      </w:r>
    </w:p>
    <w:p>
      <w:pPr>
        <w:pStyle w:val="ListBullet"/>
      </w:pPr>
      <w:r>
        <w:t>Multi-billion dollar market (~$5.3B in 2024, growing to ~$14.9B by 2029 at ~24% CAGR) with strong demand from public sector, retail, transport, financial services, and advertising.</w:t>
      </w:r>
    </w:p>
    <w:p>
      <w:r>
        <w:rPr>
          <w:b/>
        </w:rPr>
        <w:t>Is there a reference pricing model?</w:t>
      </w:r>
    </w:p>
    <w:p>
      <w:pPr>
        <w:pStyle w:val="ListBullet"/>
      </w:pPr>
      <w:r>
        <w:t>A pricing toolbox: subscription/recurring licenses, usage-based/API-metered, flat licenses, freemium tiers, and outcome/revenue-share models.</w:t>
      </w:r>
    </w:p>
    <w:p>
      <w:r>
        <w:rPr>
          <w:b/>
        </w:rPr>
        <w:t>How to expose data to consumers without a Snowflake account?</w:t>
      </w:r>
    </w:p>
    <w:p>
      <w:pPr>
        <w:pStyle w:val="ListBullet"/>
      </w:pPr>
      <w:r>
        <w:t>Multiple options: Reader accounts, "Powered-by Fusion" portals, REST APIs, Clean Rooms, and file exports - all with Snowflake as the governed backend.</w:t>
      </w:r>
    </w:p>
    <w:p>
      <w:r>
        <w:br w:type="page"/>
      </w:r>
    </w:p>
    <w:p>
      <w:pPr>
        <w:pStyle w:val="Heading1"/>
      </w:pPr>
      <w:r>
        <w:t>2. Saudi Arabia Context: Vision 2030 &amp; National Data Strategy</w:t>
      </w:r>
    </w:p>
    <w:p>
      <w:pPr>
        <w:pStyle w:val="Heading2"/>
      </w:pPr>
      <w:r>
        <w:t>SDAIA &amp; National Strategy for Data &amp; AI</w:t>
      </w:r>
    </w:p>
    <w:p>
      <w:r>
        <w:t>The Saudi Data &amp; AI Authority (SDAIA) drives the Kingdom's data agenda. Approved by King Salman in July 2020, the National Strategy for Data &amp; AI follows a phased approach:</w:t>
      </w:r>
    </w:p>
    <w:p>
      <w:pPr>
        <w:pStyle w:val="ListBullet"/>
      </w:pPr>
      <w:r>
        <w:rPr>
          <w:b/>
        </w:rPr>
        <w:t xml:space="preserve">2021 (National Enabler) - </w:t>
      </w:r>
      <w:r>
        <w:t>Address urgent national needs aligned with Vision 2030</w:t>
      </w:r>
    </w:p>
    <w:p>
      <w:pPr>
        <w:pStyle w:val="ListBullet"/>
      </w:pPr>
      <w:r>
        <w:rPr>
          <w:b/>
        </w:rPr>
        <w:t xml:space="preserve">2025 (Specialist) - </w:t>
      </w:r>
      <w:r>
        <w:t>Build foundations for competitive advantage in key domains</w:t>
      </w:r>
    </w:p>
    <w:p>
      <w:pPr>
        <w:pStyle w:val="ListBullet"/>
      </w:pPr>
      <w:r>
        <w:rPr>
          <w:b/>
        </w:rPr>
        <w:t xml:space="preserve">2030 (Industry Leader) - </w:t>
      </w:r>
      <w:r>
        <w:t>Compete internationally as a leading data &amp; AI economy</w:t>
      </w:r>
    </w:p>
    <w:p>
      <w:pPr>
        <w:pStyle w:val="Heading2"/>
      </w:pPr>
      <w:r>
        <w:t>Key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AI Global Ranking Target</w:t>
            </w:r>
          </w:p>
        </w:tc>
        <w:tc>
          <w:tcPr>
            <w:tcW w:type="dxa" w:w="4320"/>
          </w:tcPr>
          <w:p>
            <w:r>
              <w:t>Top 15</w:t>
            </w:r>
          </w:p>
        </w:tc>
      </w:tr>
      <w:tr>
        <w:tc>
          <w:tcPr>
            <w:tcW w:type="dxa" w:w="4320"/>
          </w:tcPr>
          <w:p>
            <w:r>
              <w:t>Data &amp; AI Specialists Goal</w:t>
            </w:r>
          </w:p>
        </w:tc>
        <w:tc>
          <w:tcPr>
            <w:tcW w:type="dxa" w:w="4320"/>
          </w:tcPr>
          <w:p>
            <w:r>
              <w:t>20,000+</w:t>
            </w:r>
          </w:p>
        </w:tc>
      </w:tr>
      <w:tr>
        <w:tc>
          <w:tcPr>
            <w:tcW w:type="dxa" w:w="4320"/>
          </w:tcPr>
          <w:p>
            <w:r>
              <w:t>Data Sharing Services</w:t>
            </w:r>
          </w:p>
        </w:tc>
        <w:tc>
          <w:tcPr>
            <w:tcW w:type="dxa" w:w="4320"/>
          </w:tcPr>
          <w:p>
            <w:r>
              <w:t>440+</w:t>
            </w:r>
          </w:p>
        </w:tc>
      </w:tr>
    </w:tbl>
    <w:p/>
    <w:p>
      <w:pPr>
        <w:pStyle w:val="Heading2"/>
      </w:pPr>
      <w:r>
        <w:t>Vision 2030 Integration</w:t>
      </w:r>
    </w:p>
    <w:p>
      <w:r>
        <w:t>Of the 96 goals in Saudi Vision 2030, 66 direct and indirect goals are related to data and AI. SDAIA has established 440+ data-sharing services in the Digital Data Marketplace and integrated 370+ government systems in the National Data Catalog.</w:t>
      </w:r>
    </w:p>
    <w:p>
      <w:r>
        <w:br w:type="page"/>
      </w:r>
    </w:p>
    <w:p>
      <w:pPr>
        <w:pStyle w:val="Heading1"/>
      </w:pPr>
      <w:r>
        <w:t>3. Giga-Projects &amp; Smart City Opportunity</w:t>
      </w:r>
    </w:p>
    <w:p>
      <w:pPr>
        <w:pStyle w:val="Heading2"/>
      </w:pPr>
      <w:r>
        <w:t>Major Giga-Projects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Project</w:t>
            </w:r>
          </w:p>
        </w:tc>
        <w:tc>
          <w:tcPr>
            <w:tcW w:type="dxa" w:w="2880"/>
          </w:tcPr>
          <w:p>
            <w:r>
              <w:rPr>
                <w:b/>
              </w:rPr>
              <w:t>Description</w:t>
            </w:r>
          </w:p>
        </w:tc>
        <w:tc>
          <w:tcPr>
            <w:tcW w:type="dxa" w:w="2880"/>
          </w:tcPr>
          <w:p>
            <w:r>
              <w:rPr>
                <w:b/>
              </w:rPr>
              <w:t>Data Opportunity</w:t>
            </w:r>
          </w:p>
        </w:tc>
      </w:tr>
      <w:tr>
        <w:tc>
          <w:tcPr>
            <w:tcW w:type="dxa" w:w="2880"/>
          </w:tcPr>
          <w:p>
            <w:r>
              <w:t>NEOM</w:t>
            </w:r>
          </w:p>
        </w:tc>
        <w:tc>
          <w:tcPr>
            <w:tcW w:type="dxa" w:w="2880"/>
          </w:tcPr>
          <w:p>
            <w:r>
              <w:t>Cognitive city spanning 26,500 km2</w:t>
            </w:r>
          </w:p>
        </w:tc>
        <w:tc>
          <w:tcPr>
            <w:tcW w:type="dxa" w:w="2880"/>
          </w:tcPr>
          <w:p>
            <w:r>
              <w:t>AI research partnership with SDAIA</w:t>
            </w:r>
          </w:p>
        </w:tc>
      </w:tr>
      <w:tr>
        <w:tc>
          <w:tcPr>
            <w:tcW w:type="dxa" w:w="2880"/>
          </w:tcPr>
          <w:p>
            <w:r>
              <w:t>THE LINE</w:t>
            </w:r>
          </w:p>
        </w:tc>
        <w:tc>
          <w:tcPr>
            <w:tcW w:type="dxa" w:w="2880"/>
          </w:tcPr>
          <w:p>
            <w:r>
              <w:t>Zero-carbon linear city</w:t>
            </w:r>
          </w:p>
        </w:tc>
        <w:tc>
          <w:tcPr>
            <w:tcW w:type="dxa" w:w="2880"/>
          </w:tcPr>
          <w:p>
            <w:r>
              <w:t>Real-time mobility and density analytics</w:t>
            </w:r>
          </w:p>
        </w:tc>
      </w:tr>
      <w:tr>
        <w:tc>
          <w:tcPr>
            <w:tcW w:type="dxa" w:w="2880"/>
          </w:tcPr>
          <w:p>
            <w:r>
              <w:t>Oxagon</w:t>
            </w:r>
          </w:p>
        </w:tc>
        <w:tc>
          <w:tcPr>
            <w:tcW w:type="dxa" w:w="2880"/>
          </w:tcPr>
          <w:p>
            <w:r>
              <w:t>Industrial hub "Powering Data"</w:t>
            </w:r>
          </w:p>
        </w:tc>
        <w:tc>
          <w:tcPr>
            <w:tcW w:type="dxa" w:w="2880"/>
          </w:tcPr>
          <w:p>
            <w:r>
              <w:t>Advanced logistics and supply chain analytics</w:t>
            </w:r>
          </w:p>
        </w:tc>
      </w:tr>
      <w:tr>
        <w:tc>
          <w:tcPr>
            <w:tcW w:type="dxa" w:w="2880"/>
          </w:tcPr>
          <w:p>
            <w:r>
              <w:t>Trojena</w:t>
            </w:r>
          </w:p>
        </w:tc>
        <w:tc>
          <w:tcPr>
            <w:tcW w:type="dxa" w:w="2880"/>
          </w:tcPr>
          <w:p>
            <w:r>
              <w:t>Mountain tourism destination</w:t>
            </w:r>
          </w:p>
        </w:tc>
        <w:tc>
          <w:tcPr>
            <w:tcW w:type="dxa" w:w="2880"/>
          </w:tcPr>
          <w:p>
            <w:r>
              <w:t>Visitor flow and experience analytics</w:t>
            </w:r>
          </w:p>
        </w:tc>
      </w:tr>
    </w:tbl>
    <w:p/>
    <w:p>
      <w:pPr>
        <w:pStyle w:val="Heading2"/>
      </w:pPr>
      <w:r>
        <w:t>Tourism &amp; Hospitality Initiatives</w:t>
      </w:r>
    </w:p>
    <w:p>
      <w:pPr>
        <w:pStyle w:val="ListBullet"/>
      </w:pPr>
      <w:r>
        <w:rPr>
          <w:b/>
        </w:rPr>
        <w:t xml:space="preserve">Red Sea Global - </w:t>
      </w:r>
      <w:r>
        <w:t>Luxury eco-tourism requiring visitor flow &amp; sustainability analytics</w:t>
      </w:r>
    </w:p>
    <w:p>
      <w:pPr>
        <w:pStyle w:val="ListBullet"/>
      </w:pPr>
      <w:r>
        <w:rPr>
          <w:b/>
        </w:rPr>
        <w:t xml:space="preserve">AMAALA - </w:t>
      </w:r>
      <w:r>
        <w:t>Ultra-luxury wellness destination needing guest experience insights</w:t>
      </w:r>
    </w:p>
    <w:p>
      <w:pPr>
        <w:pStyle w:val="ListBullet"/>
      </w:pPr>
      <w:r>
        <w:rPr>
          <w:b/>
        </w:rPr>
        <w:t xml:space="preserve">Diriyah Gate - </w:t>
      </w:r>
      <w:r>
        <w:t>$63B heritage destination requiring footfall &amp; cultural tourism analytics</w:t>
      </w:r>
    </w:p>
    <w:p>
      <w:pPr>
        <w:pStyle w:val="ListBullet"/>
      </w:pPr>
      <w:r>
        <w:rPr>
          <w:b/>
        </w:rPr>
        <w:t xml:space="preserve">AlUla - </w:t>
      </w:r>
      <w:r>
        <w:t>Ancient heritage site needing visitor density management</w:t>
      </w:r>
    </w:p>
    <w:p>
      <w:pPr>
        <w:pStyle w:val="ListBullet"/>
      </w:pPr>
      <w:r>
        <w:rPr>
          <w:b/>
        </w:rPr>
        <w:t xml:space="preserve">Soudah Development - </w:t>
      </w:r>
      <w:r>
        <w:t>Mountain tourism requiring seasonal flow analytics</w:t>
      </w:r>
    </w:p>
    <w:p>
      <w:pPr>
        <w:pStyle w:val="Heading2"/>
      </w:pPr>
      <w:r>
        <w:t>Religious Tourism &amp; Crowd Safety</w:t>
      </w:r>
    </w:p>
    <w:p>
      <w:pPr>
        <w:pStyle w:val="ListBullet"/>
      </w:pPr>
      <w:r>
        <w:rPr>
          <w:b/>
        </w:rPr>
        <w:t xml:space="preserve">Hajj &amp; Umrah Operations - </w:t>
      </w:r>
      <w:r>
        <w:t>Real-time crowd density, flow prediction, safety alerts</w:t>
      </w:r>
    </w:p>
    <w:p>
      <w:pPr>
        <w:pStyle w:val="ListBullet"/>
      </w:pPr>
      <w:r>
        <w:rPr>
          <w:b/>
        </w:rPr>
        <w:t xml:space="preserve">Rua Almadinah - </w:t>
      </w:r>
      <w:r>
        <w:t>Madinah development requiring pilgrim mobility analytics</w:t>
      </w:r>
    </w:p>
    <w:p>
      <w:pPr>
        <w:pStyle w:val="ListBullet"/>
      </w:pPr>
      <w:r>
        <w:rPr>
          <w:b/>
        </w:rPr>
        <w:t xml:space="preserve">Masjid Quba Expansion - </w:t>
      </w:r>
      <w:r>
        <w:t>Visitor management and capacity planning</w:t>
      </w:r>
    </w:p>
    <w:p>
      <w:pPr>
        <w:pStyle w:val="ListBullet"/>
      </w:pPr>
      <w:r>
        <w:rPr>
          <w:b/>
        </w:rPr>
        <w:t xml:space="preserve">Makkah Metro - </w:t>
      </w:r>
      <w:r>
        <w:t>Transit planning for religious seasons</w:t>
      </w:r>
    </w:p>
    <w:p>
      <w:pPr>
        <w:pStyle w:val="Heading2"/>
      </w:pPr>
      <w:r>
        <w:t>Urban &amp; Real Estate</w:t>
      </w:r>
    </w:p>
    <w:p>
      <w:pPr>
        <w:pStyle w:val="ListBullet"/>
      </w:pPr>
      <w:r>
        <w:rPr>
          <w:b/>
        </w:rPr>
        <w:t xml:space="preserve">ROSHN Group - </w:t>
      </w:r>
      <w:r>
        <w:t>Human-centric communities requiring mobility &amp; lifestyle analytics</w:t>
      </w:r>
    </w:p>
    <w:p>
      <w:pPr>
        <w:pStyle w:val="ListBullet"/>
      </w:pPr>
      <w:r>
        <w:rPr>
          <w:b/>
        </w:rPr>
        <w:t xml:space="preserve">New Murabba - </w:t>
      </w:r>
      <w:r>
        <w:t>Riyadh downtown requiring urban flow &amp; retail analytics</w:t>
      </w:r>
    </w:p>
    <w:p>
      <w:pPr>
        <w:pStyle w:val="ListBullet"/>
      </w:pPr>
      <w:r>
        <w:rPr>
          <w:b/>
        </w:rPr>
        <w:t xml:space="preserve">King Salman Park - </w:t>
      </w:r>
      <w:r>
        <w:t>16 km2 urban park needing visitor analytics</w:t>
      </w:r>
    </w:p>
    <w:p>
      <w:pPr>
        <w:pStyle w:val="ListBullet"/>
      </w:pPr>
      <w:r>
        <w:rPr>
          <w:b/>
        </w:rPr>
        <w:t xml:space="preserve">Jeddah Central - </w:t>
      </w:r>
      <w:r>
        <w:t>Waterfront development requiring footfall insights</w:t>
      </w:r>
    </w:p>
    <w:p>
      <w:pPr>
        <w:pStyle w:val="ListBullet"/>
      </w:pPr>
      <w:r>
        <w:rPr>
          <w:b/>
        </w:rPr>
        <w:t xml:space="preserve">Green Riyadh - </w:t>
      </w:r>
      <w:r>
        <w:t>Environmental planning with mobility correlation</w:t>
      </w:r>
    </w:p>
    <w:p>
      <w:pPr>
        <w:pStyle w:val="Heading2"/>
      </w:pPr>
      <w:r>
        <w:t>Entertainment &amp; Sports</w:t>
      </w:r>
    </w:p>
    <w:p>
      <w:pPr>
        <w:pStyle w:val="ListBullet"/>
      </w:pPr>
      <w:r>
        <w:rPr>
          <w:b/>
        </w:rPr>
        <w:t xml:space="preserve">Qiddiya - </w:t>
      </w:r>
      <w:r>
        <w:t>376 km2 entertainment city requiring visitor flow &amp; experience analytics</w:t>
      </w:r>
    </w:p>
    <w:p>
      <w:pPr>
        <w:pStyle w:val="ListBullet"/>
      </w:pPr>
      <w:r>
        <w:rPr>
          <w:b/>
        </w:rPr>
        <w:t xml:space="preserve">Sports Boulevard - </w:t>
      </w:r>
      <w:r>
        <w:t>135 km Riyadh corridor needing activity &amp; usage data</w:t>
      </w:r>
    </w:p>
    <w:p>
      <w:pPr>
        <w:pStyle w:val="ListBullet"/>
      </w:pPr>
      <w:r>
        <w:rPr>
          <w:b/>
        </w:rPr>
        <w:t xml:space="preserve">Riyadh Season / MDL Beast - </w:t>
      </w:r>
      <w:r>
        <w:t>Event crowd management &amp; experience optimization</w:t>
      </w:r>
    </w:p>
    <w:p>
      <w:pPr>
        <w:pStyle w:val="ListBullet"/>
      </w:pPr>
      <w:r>
        <w:rPr>
          <w:b/>
        </w:rPr>
        <w:t xml:space="preserve">THE RIG - </w:t>
      </w:r>
      <w:r>
        <w:t>Offshore platform destination requiring logistics analytics</w:t>
      </w:r>
    </w:p>
    <w:p>
      <w:r>
        <w:br w:type="page"/>
      </w:r>
    </w:p>
    <w:p>
      <w:pPr>
        <w:pStyle w:val="Heading2"/>
      </w:pPr>
      <w:r>
        <w:t>Data &amp; AI Governance Initiatives</w:t>
      </w:r>
    </w:p>
    <w:p>
      <w:r>
        <w:rPr>
          <w:b/>
        </w:rPr>
        <w:t>SDAIA / NDMO</w:t>
      </w:r>
    </w:p>
    <w:p>
      <w:pPr>
        <w:pStyle w:val="ListBullet"/>
      </w:pPr>
      <w:r>
        <w:t>Data Classification Policy</w:t>
      </w:r>
    </w:p>
    <w:p>
      <w:pPr>
        <w:pStyle w:val="ListBullet"/>
      </w:pPr>
      <w:r>
        <w:t>Data Sharing Regulations</w:t>
      </w:r>
    </w:p>
    <w:p>
      <w:pPr>
        <w:pStyle w:val="ListBullet"/>
      </w:pPr>
      <w:r>
        <w:t>Open Data Initiative</w:t>
      </w:r>
    </w:p>
    <w:p>
      <w:pPr>
        <w:pStyle w:val="ListBullet"/>
      </w:pPr>
      <w:r>
        <w:t>AI Ethics Guidelines</w:t>
      </w:r>
    </w:p>
    <w:p>
      <w:r>
        <w:rPr>
          <w:b/>
        </w:rPr>
        <w:t>PDPL Compliance</w:t>
      </w:r>
    </w:p>
    <w:p>
      <w:pPr>
        <w:pStyle w:val="ListBullet"/>
      </w:pPr>
      <w:r>
        <w:t>Consent management</w:t>
      </w:r>
    </w:p>
    <w:p>
      <w:pPr>
        <w:pStyle w:val="ListBullet"/>
      </w:pPr>
      <w:r>
        <w:t>Cross-border transfer rules</w:t>
      </w:r>
    </w:p>
    <w:p>
      <w:pPr>
        <w:pStyle w:val="ListBullet"/>
      </w:pPr>
      <w:r>
        <w:t>Data subject rights</w:t>
      </w:r>
    </w:p>
    <w:p>
      <w:pPr>
        <w:pStyle w:val="ListBullet"/>
      </w:pPr>
      <w:r>
        <w:t>Privacy-by-design</w:t>
      </w:r>
    </w:p>
    <w:p>
      <w:r>
        <w:rPr>
          <w:b/>
        </w:rPr>
        <w:t>Humain / ALAT</w:t>
      </w:r>
    </w:p>
    <w:p>
      <w:pPr>
        <w:pStyle w:val="ListBullet"/>
      </w:pPr>
      <w:r>
        <w:t>AI compute infrastructure</w:t>
      </w:r>
    </w:p>
    <w:p>
      <w:pPr>
        <w:pStyle w:val="ListBullet"/>
      </w:pPr>
      <w:r>
        <w:t>Sovereign AI capabilities</w:t>
      </w:r>
    </w:p>
    <w:p>
      <w:pPr>
        <w:pStyle w:val="ListBullet"/>
      </w:pPr>
      <w:r>
        <w:t>AI model development</w:t>
      </w:r>
    </w:p>
    <w:p>
      <w:pPr>
        <w:pStyle w:val="ListBullet"/>
      </w:pPr>
      <w:r>
        <w:t>Enterprise AI services</w:t>
      </w:r>
    </w:p>
    <w:p>
      <w:r>
        <w:br w:type="page"/>
      </w:r>
    </w:p>
    <w:p>
      <w:pPr>
        <w:pStyle w:val="Heading1"/>
      </w:pPr>
      <w:r>
        <w:t>4. Data Product Trends</w:t>
      </w:r>
    </w:p>
    <w:p>
      <w:pPr>
        <w:pStyle w:val="Heading2"/>
      </w:pPr>
      <w:r>
        <w:t>What is a Data Product?</w:t>
      </w:r>
    </w:p>
    <w:p>
      <w:r>
        <w:t>A Data Product is a curated, governed, and reusable collection of data assets designed to deliver specific value to a defined set of consumers. Unlike raw data exports, a data product is:</w:t>
      </w:r>
    </w:p>
    <w:p>
      <w:pPr>
        <w:pStyle w:val="ListBullet"/>
      </w:pPr>
      <w:r>
        <w:rPr>
          <w:b/>
        </w:rPr>
        <w:t xml:space="preserve">Self-describing - </w:t>
      </w:r>
      <w:r>
        <w:t>metadata, documentation, quality metrics</w:t>
      </w:r>
    </w:p>
    <w:p>
      <w:pPr>
        <w:pStyle w:val="ListBullet"/>
      </w:pPr>
      <w:r>
        <w:rPr>
          <w:b/>
        </w:rPr>
        <w:t xml:space="preserve">Access-controlled - </w:t>
      </w:r>
      <w:r>
        <w:t>built-in governance and privacy</w:t>
      </w:r>
    </w:p>
    <w:p>
      <w:pPr>
        <w:pStyle w:val="ListBullet"/>
      </w:pPr>
      <w:r>
        <w:rPr>
          <w:b/>
        </w:rPr>
        <w:t xml:space="preserve">Consumption-ready - </w:t>
      </w:r>
      <w:r>
        <w:t>optimized for specific use cases</w:t>
      </w:r>
    </w:p>
    <w:p>
      <w:pPr>
        <w:pStyle w:val="Heading2"/>
      </w:pPr>
      <w:r>
        <w:t>What This Means in the Telco World</w:t>
      </w:r>
    </w:p>
    <w:p>
      <w:pPr>
        <w:pStyle w:val="ListBullet"/>
      </w:pPr>
      <w:r>
        <w:rPr>
          <w:b/>
        </w:rPr>
        <w:t xml:space="preserve">Not raw CDRs or network logs -&gt; </w:t>
      </w:r>
      <w:r>
        <w:t>Aggregated, anonymized insights (mobility, footfall, dwell times)</w:t>
      </w:r>
    </w:p>
    <w:p>
      <w:pPr>
        <w:pStyle w:val="ListBullet"/>
      </w:pPr>
      <w:r>
        <w:rPr>
          <w:b/>
        </w:rPr>
        <w:t xml:space="preserve">Not one-off data dumps -&gt; </w:t>
      </w:r>
      <w:r>
        <w:t>Continuously refreshed feeds with SLAs &amp; quality monitoring</w:t>
      </w:r>
    </w:p>
    <w:p>
      <w:pPr>
        <w:pStyle w:val="ListBullet"/>
      </w:pPr>
      <w:r>
        <w:rPr>
          <w:b/>
        </w:rPr>
        <w:t xml:space="preserve">Not "take it or leave it" -&gt; </w:t>
      </w:r>
      <w:r>
        <w:t>Tiered products by geography, granularity, history depth</w:t>
      </w:r>
    </w:p>
    <w:p>
      <w:pPr>
        <w:pStyle w:val="ListBullet"/>
      </w:pPr>
      <w:r>
        <w:rPr>
          <w:b/>
        </w:rPr>
        <w:t xml:space="preserve">Not uncontrolled sharing -&gt; </w:t>
      </w:r>
      <w:r>
        <w:t>Privacy-safe delivery via clean rooms &amp; differential privacy</w:t>
      </w:r>
    </w:p>
    <w:p>
      <w:pPr>
        <w:pStyle w:val="ListBullet"/>
      </w:pPr>
      <w:r>
        <w:rPr>
          <w:b/>
        </w:rPr>
        <w:t xml:space="preserve">Not just data -&gt; </w:t>
      </w:r>
      <w:r>
        <w:t>Data + AI models + APIs as a service</w:t>
      </w:r>
    </w:p>
    <w:p>
      <w:pPr>
        <w:pStyle w:val="Heading2"/>
      </w:pPr>
      <w:r>
        <w:t>Three Big Shifts in Telco Data Products</w:t>
      </w:r>
    </w:p>
    <w:p>
      <w:r>
        <w:rPr>
          <w:b/>
        </w:rPr>
        <w:t>1. From Raw Data to Privacy-Safe Insight Products</w:t>
      </w:r>
    </w:p>
    <w:p>
      <w:r>
        <w:t>Operators are moving away from selling raw CDR/location feeds toward curated, anonymized insight products: mobility &amp; footfall, network quality, IoT/5G telemetry, fraud/risk signals, customer intent, and more.</w:t>
      </w:r>
    </w:p>
    <w:p>
      <w:r>
        <w:rPr>
          <w:i/>
        </w:rPr>
        <w:t>Example: "Digital nervous system" products for cities - real-time density, surge prediction, and recommended actions for transport, energy, and public safety packaged as data products, not raw network logs.</w:t>
      </w:r>
    </w:p>
    <w:p/>
    <w:p>
      <w:r>
        <w:rPr>
          <w:b/>
        </w:rPr>
        <w:t>2. From One-Off Deals to Marketplaces &amp; Platforms</w:t>
      </w:r>
    </w:p>
    <w:p>
      <w:r>
        <w:t>Telcos increasingly publish their data products through data marketplaces and clean rooms, so partners (cities, retailers, banks, advertisers) can subscribe to governed feeds and run their own analytics without ever seeing raw subscriber identifiers.</w:t>
      </w:r>
    </w:p>
    <w:p>
      <w:r>
        <w:rPr>
          <w:i/>
        </w:rPr>
        <w:t>Key principle: "This is not about selling raw telco data, it's about a trusted collaboration platform for insights."</w:t>
      </w:r>
    </w:p>
    <w:p/>
    <w:p>
      <w:r>
        <w:rPr>
          <w:b/>
        </w:rPr>
        <w:t>3. AI-Native / Agentic Use on Governed Products</w:t>
      </w:r>
    </w:p>
    <w:p>
      <w:r>
        <w:t>The next wave is AI/agent-assist on top of these data products: call-center intent detection, agent assist, network ops copilots - all using the same governed products with masking and row-level policies.</w:t>
      </w:r>
    </w:p>
    <w:p>
      <w:r>
        <w:rPr>
          <w:i/>
        </w:rPr>
        <w:t>The pattern: Build reusable, policy-attached telco data products once; reuse them across dashboards, AI, and partner use cases.</w:t>
      </w:r>
    </w:p>
    <w:p/>
    <w:p>
      <w:pPr>
        <w:pStyle w:val="Heading2"/>
      </w:pPr>
      <w:r>
        <w:t>Data Product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Maturity</w:t>
            </w:r>
          </w:p>
        </w:tc>
        <w:tc>
          <w:tcPr>
            <w:tcW w:type="dxa" w:w="2880"/>
          </w:tcPr>
          <w:p>
            <w:r>
              <w:rPr>
                <w:b/>
              </w:rPr>
              <w:t>Privacy Model</w:t>
            </w:r>
          </w:p>
        </w:tc>
      </w:tr>
      <w:tr>
        <w:tc>
          <w:tcPr>
            <w:tcW w:type="dxa" w:w="2880"/>
          </w:tcPr>
          <w:p>
            <w:r>
              <w:t>Mobility &amp; Footfall</w:t>
            </w:r>
          </w:p>
        </w:tc>
        <w:tc>
          <w:tcPr>
            <w:tcW w:type="dxa" w:w="2880"/>
          </w:tcPr>
          <w:p>
            <w:r>
              <w:t>95%</w:t>
            </w:r>
          </w:p>
        </w:tc>
        <w:tc>
          <w:tcPr>
            <w:tcW w:type="dxa" w:w="2880"/>
          </w:tcPr>
          <w:p>
            <w:r>
              <w:t>Aggregated</w:t>
            </w:r>
          </w:p>
        </w:tc>
      </w:tr>
      <w:tr>
        <w:tc>
          <w:tcPr>
            <w:tcW w:type="dxa" w:w="2880"/>
          </w:tcPr>
          <w:p>
            <w:r>
              <w:t>Audience Segments</w:t>
            </w:r>
          </w:p>
        </w:tc>
        <w:tc>
          <w:tcPr>
            <w:tcW w:type="dxa" w:w="2880"/>
          </w:tcPr>
          <w:p>
            <w:r>
              <w:t>85%</w:t>
            </w:r>
          </w:p>
        </w:tc>
        <w:tc>
          <w:tcPr>
            <w:tcW w:type="dxa" w:w="2880"/>
          </w:tcPr>
          <w:p>
            <w:r>
              <w:t>Cohort-based</w:t>
            </w:r>
          </w:p>
        </w:tc>
      </w:tr>
      <w:tr>
        <w:tc>
          <w:tcPr>
            <w:tcW w:type="dxa" w:w="2880"/>
          </w:tcPr>
          <w:p>
            <w:r>
              <w:t>Network Quality</w:t>
            </w:r>
          </w:p>
        </w:tc>
        <w:tc>
          <w:tcPr>
            <w:tcW w:type="dxa" w:w="2880"/>
          </w:tcPr>
          <w:p>
            <w:r>
              <w:t>80%</w:t>
            </w:r>
          </w:p>
        </w:tc>
        <w:tc>
          <w:tcPr>
            <w:tcW w:type="dxa" w:w="2880"/>
          </w:tcPr>
          <w:p>
            <w:r>
              <w:t>Aggregated</w:t>
            </w:r>
          </w:p>
        </w:tc>
      </w:tr>
      <w:tr>
        <w:tc>
          <w:tcPr>
            <w:tcW w:type="dxa" w:w="2880"/>
          </w:tcPr>
          <w:p>
            <w:r>
              <w:t>Fraud &amp; Risk Signals</w:t>
            </w:r>
          </w:p>
        </w:tc>
        <w:tc>
          <w:tcPr>
            <w:tcW w:type="dxa" w:w="2880"/>
          </w:tcPr>
          <w:p>
            <w:r>
              <w:t>75%</w:t>
            </w:r>
          </w:p>
        </w:tc>
        <w:tc>
          <w:tcPr>
            <w:tcW w:type="dxa" w:w="2880"/>
          </w:tcPr>
          <w:p>
            <w:r>
              <w:t>Scored</w:t>
            </w:r>
          </w:p>
        </w:tc>
      </w:tr>
      <w:tr>
        <w:tc>
          <w:tcPr>
            <w:tcW w:type="dxa" w:w="2880"/>
          </w:tcPr>
          <w:p>
            <w:r>
              <w:t>IoT / 5G Telemetry</w:t>
            </w:r>
          </w:p>
        </w:tc>
        <w:tc>
          <w:tcPr>
            <w:tcW w:type="dxa" w:w="2880"/>
          </w:tcPr>
          <w:p>
            <w:r>
              <w:t>70%</w:t>
            </w:r>
          </w:p>
        </w:tc>
        <w:tc>
          <w:tcPr>
            <w:tcW w:type="dxa" w:w="2880"/>
          </w:tcPr>
          <w:p>
            <w:r>
              <w:t>Device-level</w:t>
            </w:r>
          </w:p>
        </w:tc>
      </w:tr>
      <w:tr>
        <w:tc>
          <w:tcPr>
            <w:tcW w:type="dxa" w:w="2880"/>
          </w:tcPr>
          <w:p>
            <w:r>
              <w:t>Customer Intent</w:t>
            </w:r>
          </w:p>
        </w:tc>
        <w:tc>
          <w:tcPr>
            <w:tcW w:type="dxa" w:w="2880"/>
          </w:tcPr>
          <w:p>
            <w:r>
              <w:t>65%</w:t>
            </w:r>
          </w:p>
        </w:tc>
        <w:tc>
          <w:tcPr>
            <w:tcW w:type="dxa" w:w="2880"/>
          </w:tcPr>
          <w:p>
            <w:r>
              <w:t>Inferred</w:t>
            </w:r>
          </w:p>
        </w:tc>
      </w:tr>
    </w:tbl>
    <w:p>
      <w:r>
        <w:br w:type="page"/>
      </w:r>
    </w:p>
    <w:p>
      <w:pPr>
        <w:pStyle w:val="Heading2"/>
      </w:pPr>
      <w:r>
        <w:t>TM Forum Industry Guidance</w:t>
      </w:r>
    </w:p>
    <w:p>
      <w:r>
        <w:t>TM Forum, the global industry association for digital business, provides comprehensive guidance on telco data monetization through its Open Digital Framework and research publications.</w:t>
      </w:r>
    </w:p>
    <w:p>
      <w:pPr>
        <w:pStyle w:val="Heading3"/>
      </w:pPr>
      <w:r>
        <w:t>IG1138: External Data Monetization Guide</w:t>
      </w:r>
    </w:p>
    <w:p>
      <w:pPr>
        <w:pStyle w:val="ListBullet"/>
      </w:pPr>
      <w:r>
        <w:t>Regulations &amp; Compliance - Privacy requirements by jurisdiction</w:t>
      </w:r>
    </w:p>
    <w:p>
      <w:pPr>
        <w:pStyle w:val="ListBullet"/>
      </w:pPr>
      <w:r>
        <w:t>Privacy Techniques - Anonymization, aggregation, differential privacy</w:t>
      </w:r>
    </w:p>
    <w:p>
      <w:pPr>
        <w:pStyle w:val="ListBullet"/>
      </w:pPr>
      <w:r>
        <w:t>10 Monetization Use Cases across Health, Transportation, Finance/Fraud, Advertising, Site Planning, and Tourism</w:t>
      </w:r>
    </w:p>
    <w:p>
      <w:pPr>
        <w:pStyle w:val="ListBullet"/>
      </w:pPr>
      <w:r>
        <w:t>Revenue Conversion - Moving from data assets to commercial products</w:t>
      </w:r>
    </w:p>
    <w:p>
      <w:pPr>
        <w:pStyle w:val="Heading3"/>
      </w:pPr>
      <w:r>
        <w:t>TM Forum Use Case Framework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Vertical</w:t>
            </w:r>
          </w:p>
        </w:tc>
        <w:tc>
          <w:tcPr>
            <w:tcW w:type="dxa" w:w="2880"/>
          </w:tcPr>
          <w:p>
            <w:r>
              <w:rPr>
                <w:b/>
              </w:rPr>
              <w:t>Data Products</w:t>
            </w:r>
          </w:p>
        </w:tc>
        <w:tc>
          <w:tcPr>
            <w:tcW w:type="dxa" w:w="2880"/>
          </w:tcPr>
          <w:p>
            <w:r>
              <w:rPr>
                <w:b/>
              </w:rPr>
              <w:t>Privacy Model</w:t>
            </w:r>
          </w:p>
        </w:tc>
      </w:tr>
      <w:tr>
        <w:tc>
          <w:tcPr>
            <w:tcW w:type="dxa" w:w="2880"/>
          </w:tcPr>
          <w:p>
            <w:r>
              <w:t>Health</w:t>
            </w:r>
          </w:p>
        </w:tc>
        <w:tc>
          <w:tcPr>
            <w:tcW w:type="dxa" w:w="2880"/>
          </w:tcPr>
          <w:p>
            <w:r>
              <w:t>Population health patterns, mobility for outbreak tracking</w:t>
            </w:r>
          </w:p>
        </w:tc>
        <w:tc>
          <w:tcPr>
            <w:tcW w:type="dxa" w:w="2880"/>
          </w:tcPr>
          <w:p>
            <w:r>
              <w:t>Aggregated</w:t>
            </w:r>
          </w:p>
        </w:tc>
      </w:tr>
      <w:tr>
        <w:tc>
          <w:tcPr>
            <w:tcW w:type="dxa" w:w="2880"/>
          </w:tcPr>
          <w:p>
            <w:r>
              <w:t>Transportation</w:t>
            </w:r>
          </w:p>
        </w:tc>
        <w:tc>
          <w:tcPr>
            <w:tcW w:type="dxa" w:w="2880"/>
          </w:tcPr>
          <w:p>
            <w:r>
              <w:t>Traffic flow, commuter patterns, route optimization</w:t>
            </w:r>
          </w:p>
        </w:tc>
        <w:tc>
          <w:tcPr>
            <w:tcW w:type="dxa" w:w="2880"/>
          </w:tcPr>
          <w:p>
            <w:r>
              <w:t>Aggregated</w:t>
            </w:r>
          </w:p>
        </w:tc>
      </w:tr>
      <w:tr>
        <w:tc>
          <w:tcPr>
            <w:tcW w:type="dxa" w:w="2880"/>
          </w:tcPr>
          <w:p>
            <w:r>
              <w:t>Finance/Fraud</w:t>
            </w:r>
          </w:p>
        </w:tc>
        <w:tc>
          <w:tcPr>
            <w:tcW w:type="dxa" w:w="2880"/>
          </w:tcPr>
          <w:p>
            <w:r>
              <w:t>Fraud detection signals, credit risk scoring, geo-behavior</w:t>
            </w:r>
          </w:p>
        </w:tc>
        <w:tc>
          <w:tcPr>
            <w:tcW w:type="dxa" w:w="2880"/>
          </w:tcPr>
          <w:p>
            <w:r>
              <w:t>Scored/Anonymized</w:t>
            </w:r>
          </w:p>
        </w:tc>
      </w:tr>
      <w:tr>
        <w:tc>
          <w:tcPr>
            <w:tcW w:type="dxa" w:w="2880"/>
          </w:tcPr>
          <w:p>
            <w:r>
              <w:t>Advertising</w:t>
            </w:r>
          </w:p>
        </w:tc>
        <w:tc>
          <w:tcPr>
            <w:tcW w:type="dxa" w:w="2880"/>
          </w:tcPr>
          <w:p>
            <w:r>
              <w:t>Audience segments, campaign measurement, attribution</w:t>
            </w:r>
          </w:p>
        </w:tc>
        <w:tc>
          <w:tcPr>
            <w:tcW w:type="dxa" w:w="2880"/>
          </w:tcPr>
          <w:p>
            <w:r>
              <w:t>Cohort-based</w:t>
            </w:r>
          </w:p>
        </w:tc>
      </w:tr>
      <w:tr>
        <w:tc>
          <w:tcPr>
            <w:tcW w:type="dxa" w:w="2880"/>
          </w:tcPr>
          <w:p>
            <w:r>
              <w:t>Site Planning</w:t>
            </w:r>
          </w:p>
        </w:tc>
        <w:tc>
          <w:tcPr>
            <w:tcW w:type="dxa" w:w="2880"/>
          </w:tcPr>
          <w:p>
            <w:r>
              <w:t>Footfall analytics, catchment analysis, location scoring</w:t>
            </w:r>
          </w:p>
        </w:tc>
        <w:tc>
          <w:tcPr>
            <w:tcW w:type="dxa" w:w="2880"/>
          </w:tcPr>
          <w:p>
            <w:r>
              <w:t>Aggregated</w:t>
            </w:r>
          </w:p>
        </w:tc>
      </w:tr>
      <w:tr>
        <w:tc>
          <w:tcPr>
            <w:tcW w:type="dxa" w:w="2880"/>
          </w:tcPr>
          <w:p>
            <w:r>
              <w:t>Tourism</w:t>
            </w:r>
          </w:p>
        </w:tc>
        <w:tc>
          <w:tcPr>
            <w:tcW w:type="dxa" w:w="2880"/>
          </w:tcPr>
          <w:p>
            <w:r>
              <w:t>Visitor flows, origin-destination, seasonal patterns</w:t>
            </w:r>
          </w:p>
        </w:tc>
        <w:tc>
          <w:tcPr>
            <w:tcW w:type="dxa" w:w="2880"/>
          </w:tcPr>
          <w:p>
            <w:r>
              <w:t>Aggregated</w:t>
            </w:r>
          </w:p>
        </w:tc>
      </w:tr>
    </w:tbl>
    <w:p/>
    <w:p>
      <w:r>
        <w:t>Source: TM Forum IG1138 - Introductory Guide to External Data Monetization</w:t>
      </w:r>
    </w:p>
    <w:p>
      <w:pPr>
        <w:pStyle w:val="Heading2"/>
      </w:pPr>
      <w:r>
        <w:t>GSMA Data Monetization Insights</w:t>
      </w:r>
    </w:p>
    <w:p>
      <w:r>
        <w:t>GSMA Intelligence, the research arm of the global mobile industry association representing operators worldwide, provides critical market intelligence on telco data monetization opportunities.</w:t>
      </w:r>
    </w:p>
    <w:p>
      <w:pPr>
        <w:pStyle w:val="ListBullet"/>
      </w:pPr>
      <w:r>
        <w:rPr>
          <w:b/>
        </w:rPr>
        <w:t xml:space="preserve">B2B Market Opportunity: </w:t>
      </w:r>
      <w:r>
        <w:t>$400B addressable market for B2B services beyond connectivity</w:t>
      </w:r>
    </w:p>
    <w:p>
      <w:pPr>
        <w:pStyle w:val="ListBullet"/>
      </w:pPr>
      <w:r>
        <w:rPr>
          <w:b/>
        </w:rPr>
        <w:t xml:space="preserve">Enterprise Digital Transformation: </w:t>
      </w:r>
      <w:r>
        <w:t>10% of operator revenue (2024-2030)</w:t>
      </w:r>
    </w:p>
    <w:p>
      <w:pPr>
        <w:pStyle w:val="ListBullet"/>
      </w:pPr>
      <w:r>
        <w:rPr>
          <w:b/>
        </w:rPr>
        <w:t xml:space="preserve">IoT Connections: </w:t>
      </w:r>
      <w:r>
        <w:t>26 billion globally by 2025</w:t>
      </w:r>
    </w:p>
    <w:p>
      <w:pPr>
        <w:pStyle w:val="ListBullet"/>
      </w:pPr>
      <w:r>
        <w:rPr>
          <w:b/>
        </w:rPr>
        <w:t xml:space="preserve">AI Monetization: </w:t>
      </w:r>
      <w:r>
        <w:t>74% of operators testing generative AI</w:t>
      </w:r>
    </w:p>
    <w:p>
      <w:pPr>
        <w:pStyle w:val="ListBullet"/>
      </w:pPr>
      <w:r>
        <w:rPr>
          <w:b/>
        </w:rPr>
        <w:t xml:space="preserve">Open Gateway: </w:t>
      </w:r>
      <w:r>
        <w:t>74% of operators committed to API exposure</w:t>
      </w:r>
    </w:p>
    <w:p>
      <w:r>
        <w:br w:type="page"/>
      </w:r>
    </w:p>
    <w:p>
      <w:pPr>
        <w:pStyle w:val="Heading1"/>
      </w:pPr>
      <w:r>
        <w:t>5. Market Demand</w:t>
      </w:r>
    </w:p>
    <w:p>
      <w:pPr>
        <w:pStyle w:val="Heading2"/>
      </w:pPr>
      <w:r>
        <w:t>Market Size &amp; Growth</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Global Market 2024</w:t>
            </w:r>
          </w:p>
        </w:tc>
        <w:tc>
          <w:tcPr>
            <w:tcW w:type="dxa" w:w="4320"/>
          </w:tcPr>
          <w:p>
            <w:r>
              <w:t>~$5.3B</w:t>
            </w:r>
          </w:p>
        </w:tc>
      </w:tr>
      <w:tr>
        <w:tc>
          <w:tcPr>
            <w:tcW w:type="dxa" w:w="4320"/>
          </w:tcPr>
          <w:p>
            <w:r>
              <w:t>Projected by 2029</w:t>
            </w:r>
          </w:p>
        </w:tc>
        <w:tc>
          <w:tcPr>
            <w:tcW w:type="dxa" w:w="4320"/>
          </w:tcPr>
          <w:p>
            <w:r>
              <w:t>$14.9B</w:t>
            </w:r>
          </w:p>
        </w:tc>
      </w:tr>
      <w:tr>
        <w:tc>
          <w:tcPr>
            <w:tcW w:type="dxa" w:w="4320"/>
          </w:tcPr>
          <w:p>
            <w:r>
              <w:t>CAGR Growth Rate</w:t>
            </w:r>
          </w:p>
        </w:tc>
        <w:tc>
          <w:tcPr>
            <w:tcW w:type="dxa" w:w="4320"/>
          </w:tcPr>
          <w:p>
            <w:r>
              <w:t>~24%</w:t>
            </w:r>
          </w:p>
        </w:tc>
      </w:tr>
    </w:tbl>
    <w:p/>
    <w:p>
      <w:r>
        <w:rPr>
          <w:b/>
        </w:rPr>
        <w:t xml:space="preserve">Key Message: </w:t>
      </w:r>
      <w:r>
        <w:t>"This is now a multi-billion-dollar, high-growth segment, not an experiment."</w:t>
      </w:r>
    </w:p>
    <w:p>
      <w:pPr>
        <w:pStyle w:val="Heading2"/>
      </w:pPr>
      <w:r>
        <w:t>Market Projections (2024-2029)</w:t>
      </w:r>
    </w:p>
    <w:tbl>
      <w:tblPr>
        <w:tblStyle w:val="TableGrid"/>
        <w:tblW w:type="auto" w:w="0"/>
        <w:tblLook w:firstColumn="1" w:firstRow="1" w:lastColumn="0" w:lastRow="0" w:noHBand="0" w:noVBand="1" w:val="04A0"/>
      </w:tblPr>
      <w:tblGrid>
        <w:gridCol w:w="4320"/>
        <w:gridCol w:w="4320"/>
      </w:tblGrid>
      <w:tr>
        <w:tc>
          <w:tcPr>
            <w:tcW w:type="dxa" w:w="4320"/>
          </w:tcPr>
          <w:p>
            <w:r>
              <w:rPr>
                <w:b/>
              </w:rPr>
              <w:t>Year</w:t>
            </w:r>
          </w:p>
        </w:tc>
        <w:tc>
          <w:tcPr>
            <w:tcW w:type="dxa" w:w="4320"/>
          </w:tcPr>
          <w:p>
            <w:r>
              <w:rPr>
                <w:b/>
              </w:rPr>
              <w:t>Market Size ($B)</w:t>
            </w:r>
          </w:p>
        </w:tc>
      </w:tr>
      <w:tr>
        <w:tc>
          <w:tcPr>
            <w:tcW w:type="dxa" w:w="4320"/>
          </w:tcPr>
          <w:p>
            <w:r>
              <w:t>2024</w:t>
            </w:r>
          </w:p>
        </w:tc>
        <w:tc>
          <w:tcPr>
            <w:tcW w:type="dxa" w:w="4320"/>
          </w:tcPr>
          <w:p>
            <w:r>
              <w:t>5.3</w:t>
            </w:r>
          </w:p>
        </w:tc>
      </w:tr>
      <w:tr>
        <w:tc>
          <w:tcPr>
            <w:tcW w:type="dxa" w:w="4320"/>
          </w:tcPr>
          <w:p>
            <w:r>
              <w:t>2025</w:t>
            </w:r>
          </w:p>
        </w:tc>
        <w:tc>
          <w:tcPr>
            <w:tcW w:type="dxa" w:w="4320"/>
          </w:tcPr>
          <w:p>
            <w:r>
              <w:t>6.6</w:t>
            </w:r>
          </w:p>
        </w:tc>
      </w:tr>
      <w:tr>
        <w:tc>
          <w:tcPr>
            <w:tcW w:type="dxa" w:w="4320"/>
          </w:tcPr>
          <w:p>
            <w:r>
              <w:t>2026</w:t>
            </w:r>
          </w:p>
        </w:tc>
        <w:tc>
          <w:tcPr>
            <w:tcW w:type="dxa" w:w="4320"/>
          </w:tcPr>
          <w:p>
            <w:r>
              <w:t>8.2</w:t>
            </w:r>
          </w:p>
        </w:tc>
      </w:tr>
      <w:tr>
        <w:tc>
          <w:tcPr>
            <w:tcW w:type="dxa" w:w="4320"/>
          </w:tcPr>
          <w:p>
            <w:r>
              <w:t>2027</w:t>
            </w:r>
          </w:p>
        </w:tc>
        <w:tc>
          <w:tcPr>
            <w:tcW w:type="dxa" w:w="4320"/>
          </w:tcPr>
          <w:p>
            <w:r>
              <w:t>10.2</w:t>
            </w:r>
          </w:p>
        </w:tc>
      </w:tr>
      <w:tr>
        <w:tc>
          <w:tcPr>
            <w:tcW w:type="dxa" w:w="4320"/>
          </w:tcPr>
          <w:p>
            <w:r>
              <w:t>2028</w:t>
            </w:r>
          </w:p>
        </w:tc>
        <w:tc>
          <w:tcPr>
            <w:tcW w:type="dxa" w:w="4320"/>
          </w:tcPr>
          <w:p>
            <w:r>
              <w:t>12.5</w:t>
            </w:r>
          </w:p>
        </w:tc>
      </w:tr>
      <w:tr>
        <w:tc>
          <w:tcPr>
            <w:tcW w:type="dxa" w:w="4320"/>
          </w:tcPr>
          <w:p>
            <w:r>
              <w:t>2029</w:t>
            </w:r>
          </w:p>
        </w:tc>
        <w:tc>
          <w:tcPr>
            <w:tcW w:type="dxa" w:w="4320"/>
          </w:tcPr>
          <w:p>
            <w:r>
              <w:t>14.9</w:t>
            </w:r>
          </w:p>
        </w:tc>
      </w:tr>
    </w:tbl>
    <w:p/>
    <w:p>
      <w:r>
        <w:t>Sources: Precedence Research (2024), Market Research Future</w:t>
      </w:r>
    </w:p>
    <w:p>
      <w:pPr>
        <w:pStyle w:val="Heading2"/>
      </w:pPr>
      <w:r>
        <w:t>Who Buys Telco Data Products?</w:t>
      </w:r>
    </w:p>
    <w:p>
      <w:pPr>
        <w:pStyle w:val="ListBullet"/>
      </w:pPr>
      <w:r>
        <w:rPr>
          <w:b/>
        </w:rPr>
        <w:t xml:space="preserve">Government / Public Sector: </w:t>
      </w:r>
      <w:r>
        <w:t>Urban planning, transit optimization, emergency response, tourism boards</w:t>
      </w:r>
    </w:p>
    <w:p>
      <w:pPr>
        <w:pStyle w:val="ListBullet"/>
      </w:pPr>
      <w:r>
        <w:rPr>
          <w:b/>
        </w:rPr>
        <w:t xml:space="preserve">Retail &amp; CPG: </w:t>
      </w:r>
      <w:r>
        <w:t>Site selection, trade area analysis, campaign measurement, competitive intelligence</w:t>
      </w:r>
    </w:p>
    <w:p>
      <w:pPr>
        <w:pStyle w:val="ListBullet"/>
      </w:pPr>
      <w:r>
        <w:rPr>
          <w:b/>
        </w:rPr>
        <w:t xml:space="preserve">Financial Services: </w:t>
      </w:r>
      <w:r>
        <w:t>Fraud signals, credit scoring, footfall proxies for revenue, insurance risk</w:t>
      </w:r>
    </w:p>
    <w:p>
      <w:pPr>
        <w:pStyle w:val="ListBullet"/>
      </w:pPr>
      <w:r>
        <w:rPr>
          <w:b/>
        </w:rPr>
        <w:t xml:space="preserve">Transportation &amp; Logistics: </w:t>
      </w:r>
      <w:r>
        <w:t>Route planning, congestion analytics, fleet optimization</w:t>
      </w:r>
    </w:p>
    <w:p>
      <w:pPr>
        <w:pStyle w:val="ListBullet"/>
      </w:pPr>
      <w:r>
        <w:rPr>
          <w:b/>
        </w:rPr>
        <w:t xml:space="preserve">Real Estate &amp; Property: </w:t>
      </w:r>
      <w:r>
        <w:t>Location scoring, development feasibility, tenant analytics</w:t>
      </w:r>
    </w:p>
    <w:p>
      <w:pPr>
        <w:pStyle w:val="ListBullet"/>
      </w:pPr>
      <w:r>
        <w:rPr>
          <w:b/>
        </w:rPr>
        <w:t xml:space="preserve">Advertising &amp; Media: </w:t>
      </w:r>
      <w:r>
        <w:t>Audience segments, attribution, OOH measurement</w:t>
      </w:r>
    </w:p>
    <w:p>
      <w:r>
        <w:br w:type="page"/>
      </w:r>
    </w:p>
    <w:p>
      <w:pPr>
        <w:pStyle w:val="Heading1"/>
      </w:pPr>
      <w:r>
        <w:t>6. Pricing Models</w:t>
      </w:r>
    </w:p>
    <w:p>
      <w:r>
        <w:t>There is no single "industry standard" price list for telco data products. Instead, there is a toolbox of pricing models that telcos mix and match based on product type, buyer sophistication, and commercial objectives.</w:t>
      </w:r>
    </w:p>
    <w:p>
      <w:pPr>
        <w:pStyle w:val="Heading2"/>
      </w:pPr>
      <w:r>
        <w:t>Pricing Model Options</w:t>
      </w:r>
    </w:p>
    <w:p>
      <w:r>
        <w:rPr>
          <w:b/>
        </w:rPr>
        <w:t>Subscription / Recurring License</w:t>
      </w:r>
    </w:p>
    <w:p>
      <w:r>
        <w:t>Monthly or annual fee for ongoing access to a data feed or dashboard</w:t>
      </w:r>
    </w:p>
    <w:p>
      <w:pPr>
        <w:pStyle w:val="ListBullet"/>
      </w:pPr>
      <w:r>
        <w:t>Best For: Continuous use cases (e.g., weekly footfall reports)</w:t>
      </w:r>
    </w:p>
    <w:p>
      <w:pPr>
        <w:pStyle w:val="ListBullet"/>
      </w:pPr>
      <w:r>
        <w:t>Example: $5K-$50K/month for city-level mobility feed</w:t>
      </w:r>
    </w:p>
    <w:p/>
    <w:p>
      <w:r>
        <w:rPr>
          <w:b/>
        </w:rPr>
        <w:t>Usage-Based / API Metered</w:t>
      </w:r>
    </w:p>
    <w:p>
      <w:r>
        <w:t>Pay-per-query, per-record, or per-API-call</w:t>
      </w:r>
    </w:p>
    <w:p>
      <w:pPr>
        <w:pStyle w:val="ListBullet"/>
      </w:pPr>
      <w:r>
        <w:t>Best For: Variable demand, developer ecosystems</w:t>
      </w:r>
    </w:p>
    <w:p>
      <w:pPr>
        <w:pStyle w:val="ListBullet"/>
      </w:pPr>
      <w:r>
        <w:t>Example: $0.001-$0.10 per API call or per 1K records</w:t>
      </w:r>
    </w:p>
    <w:p/>
    <w:p>
      <w:r>
        <w:rPr>
          <w:b/>
        </w:rPr>
        <w:t>Flat License / One-Time</w:t>
      </w:r>
    </w:p>
    <w:p>
      <w:r>
        <w:t>Single payment for a defined dataset or historical archive</w:t>
      </w:r>
    </w:p>
    <w:p>
      <w:pPr>
        <w:pStyle w:val="ListBullet"/>
      </w:pPr>
      <w:r>
        <w:t>Best For: One-off studies, academic research</w:t>
      </w:r>
    </w:p>
    <w:p>
      <w:pPr>
        <w:pStyle w:val="ListBullet"/>
      </w:pPr>
      <w:r>
        <w:t>Example: $10K-$500K for historical mobility archive</w:t>
      </w:r>
    </w:p>
    <w:p/>
    <w:p>
      <w:r>
        <w:rPr>
          <w:b/>
        </w:rPr>
        <w:t>Freemium / Tiered</w:t>
      </w:r>
    </w:p>
    <w:p>
      <w:r>
        <w:t>Free tier with limited scope; paid tiers unlock geography, granularity, or history</w:t>
      </w:r>
    </w:p>
    <w:p>
      <w:pPr>
        <w:pStyle w:val="ListBullet"/>
      </w:pPr>
      <w:r>
        <w:t>Best For: Land-and-expand, developer adoption</w:t>
      </w:r>
    </w:p>
    <w:p>
      <w:pPr>
        <w:pStyle w:val="ListBullet"/>
      </w:pPr>
      <w:r>
        <w:t>Example: Free city-level aggregates; paid for district-level or hourly</w:t>
      </w:r>
    </w:p>
    <w:p/>
    <w:p>
      <w:r>
        <w:rPr>
          <w:b/>
        </w:rPr>
        <w:t>Outcome / Revenue Share</w:t>
      </w:r>
    </w:p>
    <w:p>
      <w:r>
        <w:t>Pricing tied to buyer's business outcome (e.g., % of ad spend, % of revenue uplift)</w:t>
      </w:r>
    </w:p>
    <w:p>
      <w:pPr>
        <w:pStyle w:val="ListBullet"/>
      </w:pPr>
      <w:r>
        <w:t>Best For: High-trust partnerships, joint ventures</w:t>
      </w:r>
    </w:p>
    <w:p>
      <w:pPr>
        <w:pStyle w:val="ListBullet"/>
      </w:pPr>
      <w:r>
        <w:t>Example: 5-15% of incremental revenue attributed to data</w:t>
      </w:r>
    </w:p>
    <w:p/>
    <w:p>
      <w:pPr>
        <w:pStyle w:val="Heading2"/>
      </w:pPr>
      <w:r>
        <w:t>Pricing Recommendations</w:t>
      </w:r>
    </w:p>
    <w:p>
      <w:pPr>
        <w:pStyle w:val="ListBullet"/>
      </w:pPr>
      <w:r>
        <w:t>Start with subscription for predictable revenue and customer stickiness</w:t>
      </w:r>
    </w:p>
    <w:p>
      <w:pPr>
        <w:pStyle w:val="ListBullet"/>
      </w:pPr>
      <w:r>
        <w:t>Offer usage-based for API products to lower entry barrier</w:t>
      </w:r>
    </w:p>
    <w:p>
      <w:pPr>
        <w:pStyle w:val="ListBullet"/>
      </w:pPr>
      <w:r>
        <w:t>Use tiered pricing to capture different willingness-to-pay segments</w:t>
      </w:r>
    </w:p>
    <w:p>
      <w:pPr>
        <w:pStyle w:val="ListBullet"/>
      </w:pPr>
      <w:r>
        <w:t>Reserve outcome-based for strategic partnerships with shared upside</w:t>
      </w:r>
    </w:p>
    <w:p>
      <w:pPr>
        <w:pStyle w:val="ListBullet"/>
      </w:pPr>
      <w:r>
        <w:t>Always include governance and audit trail as value-add, not cost</w:t>
      </w:r>
    </w:p>
    <w:p>
      <w:r>
        <w:br w:type="page"/>
      </w:r>
    </w:p>
    <w:p>
      <w:pPr>
        <w:pStyle w:val="Heading1"/>
      </w:pPr>
      <w:r>
        <w:t>7. Data Distribution Options</w:t>
      </w:r>
    </w:p>
    <w:p>
      <w:r>
        <w:t>How to expose data to consumers without requiring them to have a Snowflake account? Multiple options exist, all with Snowflake as the governed backend.</w:t>
      </w:r>
    </w:p>
    <w:p>
      <w:pPr>
        <w:pStyle w:val="Heading2"/>
      </w:pPr>
      <w:r>
        <w:t>Distribution Channels</w:t>
      </w:r>
    </w:p>
    <w:p>
      <w:r>
        <w:rPr>
          <w:b/>
        </w:rPr>
        <w:t>Snowflake Reader Accounts</w:t>
      </w:r>
    </w:p>
    <w:p>
      <w:r>
        <w:t>Snowflake-hosted accounts for partners who don't have their own Snowflake. They query your shares using Snowflake UI or connectors.</w:t>
      </w:r>
    </w:p>
    <w:p>
      <w:pPr>
        <w:pStyle w:val="ListBullet"/>
      </w:pPr>
      <w:r>
        <w:t>Pros: Full SQL power, governed, audit trail</w:t>
      </w:r>
    </w:p>
    <w:p>
      <w:pPr>
        <w:pStyle w:val="ListBullet"/>
      </w:pPr>
      <w:r>
        <w:t>Cons: Requires Snowflake literacy; you pay compute</w:t>
      </w:r>
    </w:p>
    <w:p/>
    <w:p>
      <w:r>
        <w:rPr>
          <w:b/>
        </w:rPr>
        <w:t>"Powered by Fusion" Portal / Streamlit</w:t>
      </w:r>
    </w:p>
    <w:p>
      <w:r>
        <w:t>Custom web app (e.g., Streamlit) that queries Snowflake and presents insights via UI. No Snowflake login needed.</w:t>
      </w:r>
    </w:p>
    <w:p>
      <w:pPr>
        <w:pStyle w:val="ListBullet"/>
      </w:pPr>
      <w:r>
        <w:t>Pros: Branded experience, no Snowflake knowledge required</w:t>
      </w:r>
    </w:p>
    <w:p>
      <w:pPr>
        <w:pStyle w:val="ListBullet"/>
      </w:pPr>
      <w:r>
        <w:t>Cons: Development effort; limited to pre-built views</w:t>
      </w:r>
    </w:p>
    <w:p/>
    <w:p>
      <w:r>
        <w:rPr>
          <w:b/>
        </w:rPr>
        <w:t>REST APIs</w:t>
      </w:r>
    </w:p>
    <w:p>
      <w:r>
        <w:t>Expose Snowflake data via REST endpoints (e.g., using External Functions, Snowpark Container Services, or a gateway).</w:t>
      </w:r>
    </w:p>
    <w:p>
      <w:pPr>
        <w:pStyle w:val="ListBullet"/>
      </w:pPr>
      <w:r>
        <w:t>Pros: Universal integration, developer-friendly</w:t>
      </w:r>
    </w:p>
    <w:p>
      <w:pPr>
        <w:pStyle w:val="ListBullet"/>
      </w:pPr>
      <w:r>
        <w:t>Cons: Requires API management; usage metering</w:t>
      </w:r>
    </w:p>
    <w:p/>
    <w:p>
      <w:r>
        <w:rPr>
          <w:b/>
        </w:rPr>
        <w:t>Clean Rooms (Snowflake Data Clean Rooms)</w:t>
      </w:r>
    </w:p>
    <w:p>
      <w:r>
        <w:t>Privacy-safe collaboration where partners bring their data into a governed environment for joint analysis without raw data exposure.</w:t>
      </w:r>
    </w:p>
    <w:p>
      <w:pPr>
        <w:pStyle w:val="ListBullet"/>
      </w:pPr>
      <w:r>
        <w:t>Pros: Privacy-compliant, high-value partnerships</w:t>
      </w:r>
    </w:p>
    <w:p>
      <w:pPr>
        <w:pStyle w:val="ListBullet"/>
      </w:pPr>
      <w:r>
        <w:t>Cons: Requires partner engagement; more complex setup</w:t>
      </w:r>
    </w:p>
    <w:p/>
    <w:p>
      <w:r>
        <w:rPr>
          <w:b/>
        </w:rPr>
        <w:t>File Exports (S3, SFTP, etc.)</w:t>
      </w:r>
    </w:p>
    <w:p>
      <w:r>
        <w:t>Scheduled exports of aggregated data to cloud storage or SFTP for partners with legacy systems.</w:t>
      </w:r>
    </w:p>
    <w:p>
      <w:pPr>
        <w:pStyle w:val="ListBullet"/>
      </w:pPr>
      <w:r>
        <w:t>Pros: Works with any system</w:t>
      </w:r>
    </w:p>
    <w:p>
      <w:pPr>
        <w:pStyle w:val="ListBullet"/>
      </w:pPr>
      <w:r>
        <w:t>Cons: No real-time; less governed; data leaves your control</w:t>
      </w:r>
    </w:p>
    <w:p/>
    <w:p>
      <w:pPr>
        <w:pStyle w:val="Heading2"/>
      </w:pPr>
      <w:r>
        <w:t>Distribution Recommendations</w:t>
      </w:r>
    </w:p>
    <w:p>
      <w:pPr>
        <w:pStyle w:val="ListBullet"/>
      </w:pPr>
      <w:r>
        <w:t>Default to Reader Accounts or Streamlit for most use cases</w:t>
      </w:r>
    </w:p>
    <w:p>
      <w:pPr>
        <w:pStyle w:val="ListBullet"/>
      </w:pPr>
      <w:r>
        <w:t>Use REST APIs for developer ecosystems and programmatic access</w:t>
      </w:r>
    </w:p>
    <w:p>
      <w:pPr>
        <w:pStyle w:val="ListBullet"/>
      </w:pPr>
      <w:r>
        <w:t>Reserve Clean Rooms for high-value, privacy-sensitive partnerships</w:t>
      </w:r>
    </w:p>
    <w:p>
      <w:pPr>
        <w:pStyle w:val="ListBullet"/>
      </w:pPr>
      <w:r>
        <w:t>Avoid raw file exports unless absolutely necessary (regulatory, legacy systems)</w:t>
      </w:r>
    </w:p>
    <w:p>
      <w:pPr>
        <w:pStyle w:val="ListBullet"/>
      </w:pPr>
      <w:r>
        <w:t>Always maintain Snowflake as the single source of truth for governance</w:t>
      </w:r>
    </w:p>
    <w:p>
      <w:r>
        <w:br w:type="page"/>
      </w:r>
    </w:p>
    <w:p>
      <w:pPr>
        <w:pStyle w:val="Heading1"/>
      </w:pPr>
      <w:r>
        <w:t>8. References</w:t>
      </w:r>
    </w:p>
    <w:p>
      <w:pPr>
        <w:pStyle w:val="Heading2"/>
      </w:pPr>
      <w:r>
        <w:t>TM Forum</w:t>
      </w:r>
    </w:p>
    <w:p>
      <w:pPr>
        <w:pStyle w:val="ListBullet"/>
      </w:pPr>
      <w:r>
        <w:t>GB1086: Data Product Lifecycle Management (DPLM) - Establishing an Operational Model for Telco Data v1.0.0</w:t>
      </w:r>
    </w:p>
    <w:p>
      <w:pPr>
        <w:pStyle w:val="ListBullet"/>
      </w:pPr>
      <w:r>
        <w:t>IG1138: Introductory Guide to External Data Monetization R15.5.1</w:t>
      </w:r>
    </w:p>
    <w:p>
      <w:pPr>
        <w:pStyle w:val="ListBullet"/>
      </w:pPr>
      <w:r>
        <w:t>ODA Monetization Engine Catalyst (2024)</w:t>
      </w:r>
    </w:p>
    <w:p>
      <w:pPr>
        <w:pStyle w:val="ListBullet"/>
      </w:pPr>
      <w:r>
        <w:t>TM Forum Inform: "How telcos can monetize data through digital marketplaces"</w:t>
      </w:r>
    </w:p>
    <w:p>
      <w:pPr>
        <w:pStyle w:val="Heading2"/>
      </w:pPr>
      <w:r>
        <w:t>GSMA</w:t>
      </w:r>
    </w:p>
    <w:p>
      <w:pPr>
        <w:pStyle w:val="ListBullet"/>
      </w:pPr>
      <w:r>
        <w:t>The Mobile Economy 2025</w:t>
      </w:r>
    </w:p>
    <w:p>
      <w:pPr>
        <w:pStyle w:val="ListBullet"/>
      </w:pPr>
      <w:r>
        <w:t>Operator Strategies for Monetization and Customer Experience</w:t>
      </w:r>
    </w:p>
    <w:p>
      <w:pPr>
        <w:pStyle w:val="ListBullet"/>
      </w:pPr>
      <w:r>
        <w:t>GSMA Open Gateway Initiative</w:t>
      </w:r>
    </w:p>
    <w:p>
      <w:pPr>
        <w:pStyle w:val="ListBullet"/>
      </w:pPr>
      <w:r>
        <w:t>GSMA Intelligence Research</w:t>
      </w:r>
    </w:p>
    <w:p>
      <w:pPr>
        <w:pStyle w:val="Heading2"/>
      </w:pPr>
      <w:r>
        <w:t>Saudi Arabia / Vision 2030</w:t>
      </w:r>
    </w:p>
    <w:p>
      <w:pPr>
        <w:pStyle w:val="ListBullet"/>
      </w:pPr>
      <w:r>
        <w:t>SDAIA - National Strategy for Data &amp; AI (sdaia.gov.sa)</w:t>
      </w:r>
    </w:p>
    <w:p>
      <w:pPr>
        <w:pStyle w:val="ListBullet"/>
      </w:pPr>
      <w:r>
        <w:t>NDMO - National Data Management Office</w:t>
      </w:r>
    </w:p>
    <w:p>
      <w:pPr>
        <w:pStyle w:val="ListBullet"/>
      </w:pPr>
      <w:r>
        <w:t>Saudi Vision 2030 (vision2030.gov.sa)</w:t>
      </w:r>
    </w:p>
    <w:p>
      <w:pPr>
        <w:pStyle w:val="ListBullet"/>
      </w:pPr>
      <w:r>
        <w:t>PIF Giga-Projects (pif.gov.sa)</w:t>
      </w:r>
    </w:p>
    <w:p>
      <w:pPr>
        <w:pStyle w:val="ListBullet"/>
      </w:pPr>
      <w:r>
        <w:t>NEOM (neom.com)</w:t>
      </w:r>
    </w:p>
    <w:p>
      <w:pPr>
        <w:pStyle w:val="ListBullet"/>
      </w:pPr>
      <w:r>
        <w:t>Qiddiya Investment Company (qiddiya.com)</w:t>
      </w:r>
    </w:p>
    <w:p>
      <w:pPr>
        <w:pStyle w:val="ListBullet"/>
      </w:pPr>
      <w:r>
        <w:t>Red Sea Global (redseaglobal.com)</w:t>
      </w:r>
    </w:p>
    <w:p>
      <w:pPr>
        <w:pStyle w:val="ListBullet"/>
      </w:pPr>
      <w:r>
        <w:t>Diriyah Gate Development Authority (dgda.gov.sa)</w:t>
      </w:r>
    </w:p>
    <w:p>
      <w:pPr>
        <w:pStyle w:val="Heading2"/>
      </w:pPr>
      <w:r>
        <w:t>Market Research</w:t>
      </w:r>
    </w:p>
    <w:p>
      <w:pPr>
        <w:pStyle w:val="ListBullet"/>
      </w:pPr>
      <w:r>
        <w:t>Precedence Research - Telecom Analytics Market Report (2024)</w:t>
      </w:r>
    </w:p>
    <w:p>
      <w:pPr>
        <w:pStyle w:val="ListBullet"/>
      </w:pPr>
      <w:r>
        <w:t>Market Research Future - Telecom Data Monetization Forecast</w:t>
      </w:r>
    </w:p>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