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dabe88b4342f956b2e6dc9ac1760b2acf4d143"/>
    <w:p>
      <w:pPr>
        <w:pStyle w:val="Heading1"/>
      </w:pPr>
      <w:r>
        <w:t xml:space="preserve">VodafoneThree Customer Intelligence Command Center</w:t>
      </w:r>
    </w:p>
    <w:bookmarkStart w:id="9" w:name="minute-demo-script-v2"/>
    <w:p>
      <w:pPr>
        <w:pStyle w:val="Heading2"/>
      </w:pPr>
      <w:r>
        <w:t xml:space="preserve">10-Minute Demo Script (v2)</w:t>
      </w:r>
    </w:p>
    <w:p>
      <w:pPr>
        <w:pStyle w:val="FirstParagraph"/>
      </w:pPr>
      <w:r>
        <w:rPr>
          <w:b/>
          <w:bCs/>
        </w:rPr>
        <w:t xml:space="preserve">Total runtime:</w:t>
      </w:r>
      <w:r>
        <w:t xml:space="preserve"> </w:t>
      </w:r>
      <w:r>
        <w:t xml:space="preserve">~10:00</w:t>
      </w:r>
      <w:r>
        <w:t xml:space="preserve"> </w:t>
      </w:r>
      <w:r>
        <w:rPr>
          <w:b/>
          <w:bCs/>
        </w:rPr>
        <w:t xml:space="preserve">Pace:</w:t>
      </w:r>
      <w:r>
        <w:t xml:space="preserve"> </w:t>
      </w:r>
      <w:r>
        <w:t xml:space="preserve">~140 wpm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VodafoneThree executive, commercial, network operations, and customer experience stakeholders</w:t>
      </w:r>
      <w:r>
        <w:t xml:space="preserve"> </w:t>
      </w:r>
      <w:r>
        <w:rPr>
          <w:b/>
          <w:bCs/>
        </w:rPr>
        <w:t xml:space="preserve">Pre-flight checklist:</w:t>
      </w:r>
    </w:p>
    <w:p>
      <w:pPr>
        <w:pStyle w:val="Compact"/>
        <w:numPr>
          <w:ilvl w:val="0"/>
          <w:numId w:val="1001"/>
        </w:numPr>
      </w:pPr>
      <w:r>
        <w:t xml:space="preserve">Browser at</w:t>
      </w:r>
      <w:r>
        <w:t xml:space="preserve"> </w:t>
      </w:r>
      <w:r>
        <w:rPr>
          <w:rStyle w:val="VerbatimChar"/>
        </w:rPr>
        <w:t xml:space="preserve">http://localhost:5173/</w:t>
      </w:r>
      <w:r>
        <w:t xml:space="preserve"> </w:t>
      </w:r>
      <w:r>
        <w:t xml:space="preserve">(or the Netlify URL)</w:t>
      </w:r>
    </w:p>
    <w:p>
      <w:pPr>
        <w:pStyle w:val="Compact"/>
        <w:numPr>
          <w:ilvl w:val="0"/>
          <w:numId w:val="1001"/>
        </w:numPr>
      </w:pPr>
      <w:r>
        <w:t xml:space="preserve">Sound on or off (your call —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toggles)</w:t>
      </w:r>
    </w:p>
    <w:p>
      <w:pPr>
        <w:pStyle w:val="Compact"/>
        <w:numPr>
          <w:ilvl w:val="0"/>
          <w:numId w:val="1001"/>
        </w:numPr>
      </w:pPr>
      <w:r>
        <w:t xml:space="preserve">Narrator overlay on (it auto-prompts each line) —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toggles</w:t>
      </w:r>
    </w:p>
    <w:p>
      <w:pPr>
        <w:pStyle w:val="Compact"/>
        <w:numPr>
          <w:ilvl w:val="0"/>
          <w:numId w:val="1001"/>
        </w:numPr>
      </w:pPr>
      <w:r>
        <w:t xml:space="preserve">Scenario set to</w:t>
      </w:r>
      <w:r>
        <w:t xml:space="preserve"> </w:t>
      </w:r>
      <w:r>
        <w:rPr>
          <w:b/>
          <w:bCs/>
        </w:rPr>
        <w:t xml:space="preserve">Manchester M14 — Network degradation</w:t>
      </w:r>
    </w:p>
    <w:p>
      <w:pPr>
        <w:pStyle w:val="Compact"/>
        <w:numPr>
          <w:ilvl w:val="0"/>
          <w:numId w:val="1001"/>
        </w:numPr>
      </w:pPr>
      <w:r>
        <w:t xml:space="preserve">Demo state at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(press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 reset)</w:t>
      </w:r>
    </w:p>
    <w:p>
      <w:pPr>
        <w:pStyle w:val="Compact"/>
        <w:numPr>
          <w:ilvl w:val="0"/>
          <w:numId w:val="1001"/>
        </w:numPr>
      </w:pPr>
      <w:r>
        <w:t xml:space="preserve">One window, no other tabs visible</w:t>
      </w:r>
    </w:p>
    <w:p>
      <w:r>
        <w:pict>
          <v:rect style="width:0;height:1.5pt" o:hralign="center" o:hrstd="t" o:hr="t"/>
        </w:pict>
      </w:r>
    </w:p>
    <w:bookmarkEnd w:id="9"/>
    <w:bookmarkStart w:id="10" w:name="open-landing-page"/>
    <w:p>
      <w:pPr>
        <w:pStyle w:val="Heading2"/>
      </w:pPr>
      <w:r>
        <w:t xml:space="preserve">[0:00 – 0:45] OPEN — Landing page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(landing page)</w:t>
      </w:r>
    </w:p>
    <w:p>
      <w:pPr>
        <w:pStyle w:val="BlockText"/>
      </w:pPr>
      <w:r>
        <w:t xml:space="preserve">“Good morning. What you’re about to see is the</w:t>
      </w:r>
      <w:r>
        <w:t xml:space="preserve"> </w:t>
      </w:r>
      <w:r>
        <w:rPr>
          <w:b/>
          <w:bCs/>
        </w:rPr>
        <w:t xml:space="preserve">VodafoneThree Customer Intelligence Command Center</w:t>
      </w:r>
      <w:r>
        <w:t xml:space="preserve"> </w:t>
      </w:r>
      <w:r>
        <w:t xml:space="preserve">— an internal operations system used by Care, Marketing, Network Operations, and the Executive team. It is a live simulation of how VodafoneThree can use Snowflake-native data and AI to detect churn, generate the next best action, and proactively resolve service issues before customers leave.</w:t>
      </w:r>
    </w:p>
    <w:p>
      <w:pPr>
        <w:pStyle w:val="BlockText"/>
      </w:pPr>
      <w:r>
        <w:t xml:space="preserve">Let me set the scale. Across the top:</w:t>
      </w:r>
      <w:r>
        <w:t xml:space="preserve"> </w:t>
      </w:r>
      <w:r>
        <w:rPr>
          <w:b/>
          <w:bCs/>
        </w:rPr>
        <w:t xml:space="preserve">~29 million UK customers</w:t>
      </w:r>
      <w:r>
        <w:t xml:space="preserve">,</w:t>
      </w:r>
      <w:r>
        <w:t xml:space="preserve"> </w:t>
      </w:r>
      <w:r>
        <w:rPr>
          <w:b/>
          <w:bCs/>
        </w:rPr>
        <w:t xml:space="preserve">£11 billion</w:t>
      </w:r>
      <w:r>
        <w:t xml:space="preserve"> </w:t>
      </w:r>
      <w:r>
        <w:t xml:space="preserve">of network investment,</w:t>
      </w:r>
      <w:r>
        <w:t xml:space="preserve"> </w:t>
      </w:r>
      <w:r>
        <w:rPr>
          <w:b/>
          <w:bCs/>
        </w:rPr>
        <w:t xml:space="preserve">99% 5G Standalone</w:t>
      </w:r>
      <w:r>
        <w:t xml:space="preserve"> </w:t>
      </w:r>
      <w:r>
        <w:t xml:space="preserve">by 2030,</w:t>
      </w:r>
      <w:r>
        <w:t xml:space="preserve"> </w:t>
      </w:r>
      <w:r>
        <w:rPr>
          <w:b/>
          <w:bCs/>
        </w:rPr>
        <w:t xml:space="preserve">99.96% by 2034</w:t>
      </w:r>
      <w:r>
        <w:t xml:space="preserve">,</w:t>
      </w:r>
      <w:r>
        <w:t xml:space="preserve"> </w:t>
      </w:r>
      <w:r>
        <w:rPr>
          <w:b/>
          <w:bCs/>
        </w:rPr>
        <w:t xml:space="preserve">16,500 square kilometres</w:t>
      </w:r>
      <w:r>
        <w:t xml:space="preserve"> </w:t>
      </w:r>
      <w:r>
        <w:t xml:space="preserve">of 4G not-spots being removed, and</w:t>
      </w:r>
      <w:r>
        <w:t xml:space="preserve"> </w:t>
      </w:r>
      <w:r>
        <w:rPr>
          <w:b/>
          <w:bCs/>
        </w:rPr>
        <w:t xml:space="preserve">8,000 sites</w:t>
      </w:r>
      <w:r>
        <w:t xml:space="preserve"> </w:t>
      </w:r>
      <w:r>
        <w:t xml:space="preserve">delivered in year one of the network integration plan.</w:t>
      </w:r>
    </w:p>
    <w:p>
      <w:pPr>
        <w:pStyle w:val="BlockText"/>
      </w:pPr>
      <w:r>
        <w:t xml:space="preserve">Underneath that data foundation, six capabilities: Churn Intelligence, Next Best Offer, Proactive Issue Resolution, Customer 360, Network Experience, and Executive Insights. One platform, five customer brands — Vodafone, Three, SMARTY, VOXI, and Talkmobile — all on a single identity-resolved Customer 360.</w:t>
      </w:r>
    </w:p>
    <w:p>
      <w:pPr>
        <w:pStyle w:val="BlockText"/>
      </w:pPr>
      <w:r>
        <w:t xml:space="preserve">What you won’t see here is a generic telecom dashboard. What you will see is a</w:t>
      </w:r>
      <w:r>
        <w:t xml:space="preserve"> </w:t>
      </w:r>
      <w:r>
        <w:rPr>
          <w:b/>
          <w:bCs/>
        </w:rPr>
        <w:t xml:space="preserve">VodafoneThree-specific operations command center</w:t>
      </w:r>
      <w:r>
        <w:t xml:space="preserve">, built for the moments that matter — churn, network incidents, retention conversations, and executive decisions.</w:t>
      </w:r>
    </w:p>
    <w:p>
      <w:pPr>
        <w:pStyle w:val="BlockText"/>
      </w:pPr>
      <w:r>
        <w:t xml:space="preserve">Let me show you what live operations look like.”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Launch Command Center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frame-command-center-layout-navigation"/>
    <w:p>
      <w:pPr>
        <w:pStyle w:val="Heading2"/>
      </w:pPr>
      <w:r>
        <w:t xml:space="preserve">[0:45 – 1:30] FRAME — Command Center layout &amp; navigation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rPr>
          <w:rStyle w:val="VerbatimChar"/>
        </w:rPr>
        <w:t xml:space="preserve">/command-center</w:t>
      </w:r>
    </w:p>
    <w:p>
      <w:pPr>
        <w:pStyle w:val="BlockText"/>
      </w:pPr>
      <w:r>
        <w:t xml:space="preserve">“This is the live Command Center. Let me orient you quickly.</w:t>
      </w:r>
    </w:p>
    <w:p>
      <w:pPr>
        <w:pStyle w:val="BlockText"/>
      </w:pPr>
      <w:r>
        <w:t xml:space="preserve">The</w:t>
      </w:r>
      <w:r>
        <w:t xml:space="preserve"> </w:t>
      </w:r>
      <w:r>
        <w:rPr>
          <w:b/>
          <w:bCs/>
        </w:rPr>
        <w:t xml:space="preserve">left sidebar</w:t>
      </w:r>
      <w:r>
        <w:t xml:space="preserve"> </w:t>
      </w:r>
      <w:r>
        <w:t xml:space="preserve">is how the team moves through the platform. Operations, Decisioning, Analytics, Architecture — and at the bottom, the red</w:t>
      </w:r>
      <w:r>
        <w:t xml:space="preserve"> </w:t>
      </w:r>
      <w:r>
        <w:rPr>
          <w:b/>
          <w:bCs/>
        </w:rPr>
        <w:t xml:space="preserve">Ask CIC</w:t>
      </w:r>
      <w:r>
        <w:t xml:space="preserve"> </w:t>
      </w:r>
      <w:r>
        <w:t xml:space="preserve">button, our Cortex AI assistant. I’ll come back to all of these.</w:t>
      </w:r>
    </w:p>
    <w:p>
      <w:pPr>
        <w:pStyle w:val="BlockText"/>
      </w:pPr>
      <w:r>
        <w:t xml:space="preserve">Inside the main view:</w:t>
      </w:r>
      <w:r>
        <w:t xml:space="preserve"> </w:t>
      </w:r>
      <w:r>
        <w:rPr>
          <w:b/>
          <w:bCs/>
        </w:rPr>
        <w:t xml:space="preserve">at-risk customers</w:t>
      </w:r>
      <w:r>
        <w:t xml:space="preserve"> </w:t>
      </w:r>
      <w:r>
        <w:t xml:space="preserve">on the left,</w:t>
      </w:r>
      <w:r>
        <w:t xml:space="preserve"> </w:t>
      </w:r>
      <w:r>
        <w:rPr>
          <w:b/>
          <w:bCs/>
        </w:rPr>
        <w:t xml:space="preserve">UK network map</w:t>
      </w:r>
      <w:r>
        <w:t xml:space="preserve"> </w:t>
      </w:r>
      <w:r>
        <w:t xml:space="preserve">in the middle,</w:t>
      </w:r>
      <w:r>
        <w:t xml:space="preserve"> </w:t>
      </w:r>
      <w:r>
        <w:rPr>
          <w:b/>
          <w:bCs/>
        </w:rPr>
        <w:t xml:space="preserve">Customer 360</w:t>
      </w:r>
      <w:r>
        <w:t xml:space="preserve"> </w:t>
      </w:r>
      <w:r>
        <w:t xml:space="preserve">on the right with the</w:t>
      </w:r>
      <w:r>
        <w:t xml:space="preserve"> </w:t>
      </w:r>
      <w:r>
        <w:rPr>
          <w:b/>
          <w:bCs/>
        </w:rPr>
        <w:t xml:space="preserve">live event stream</w:t>
      </w:r>
      <w:r>
        <w:t xml:space="preserve"> </w:t>
      </w:r>
      <w:r>
        <w:t xml:space="preserve">beneath it, and a</w:t>
      </w:r>
      <w:r>
        <w:t xml:space="preserve"> </w:t>
      </w:r>
      <w:r>
        <w:rPr>
          <w:b/>
          <w:bCs/>
        </w:rPr>
        <w:t xml:space="preserve">timeline</w:t>
      </w:r>
      <w:r>
        <w:t xml:space="preserve"> </w:t>
      </w:r>
      <w:r>
        <w:t xml:space="preserve">running across the bottom.</w:t>
      </w:r>
    </w:p>
    <w:p>
      <w:pPr>
        <w:pStyle w:val="BlockText"/>
      </w:pPr>
      <w:r>
        <w:t xml:space="preserve">At the very top of the sidebar: a</w:t>
      </w:r>
      <w:r>
        <w:t xml:space="preserve"> </w:t>
      </w:r>
      <w:r>
        <w:rPr>
          <w:b/>
          <w:bCs/>
        </w:rPr>
        <w:t xml:space="preserve">scenario picker</w:t>
      </w:r>
      <w:r>
        <w:t xml:space="preserve">. Manchester, Bristol, Birmingham, London. The same engine, four different stories — proves this is a platform, not one demo. Today I’ll run</w:t>
      </w:r>
      <w:r>
        <w:t xml:space="preserve"> </w:t>
      </w:r>
      <w:r>
        <w:rPr>
          <w:b/>
          <w:bCs/>
        </w:rPr>
        <w:t xml:space="preserve">Manchester</w:t>
      </w:r>
      <w:r>
        <w:t xml:space="preserve"> </w:t>
      </w:r>
      <w:r>
        <w:t xml:space="preserve">because it’s the richest end-to-end story.</w:t>
      </w:r>
    </w:p>
    <w:p>
      <w:pPr>
        <w:pStyle w:val="BlockText"/>
      </w:pPr>
      <w:r>
        <w:t xml:space="preserve">One more orientation point: the</w:t>
      </w:r>
      <w:r>
        <w:t xml:space="preserve"> </w:t>
      </w:r>
      <w:r>
        <w:rPr>
          <w:b/>
          <w:bCs/>
        </w:rPr>
        <w:t xml:space="preserve">bottom-left card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presenter narrator</w:t>
      </w:r>
      <w:r>
        <w:t xml:space="preserve"> </w:t>
      </w:r>
      <w:r>
        <w:t xml:space="preserve">that updates with the operations script as we move through stages. So even if you couldn’t hear me, you’d see what the system is doing.”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Press</w:t>
      </w:r>
      <w:r>
        <w:t xml:space="preserve"> </w:t>
      </w:r>
      <w:r>
        <w:rPr>
          <w:b/>
          <w:bCs/>
        </w:rPr>
        <w:t xml:space="preserve">Play</w:t>
      </w:r>
      <w:r>
        <w:t xml:space="preserve"> </w:t>
      </w:r>
      <w:r>
        <w:t xml:space="preserve">in Demo Controls (top right) — or just press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ff7a1ec9f564ca75f3cbee76c2ee2b64fe1b42e"/>
    <w:p>
      <w:pPr>
        <w:pStyle w:val="Heading2"/>
      </w:pPr>
      <w:r>
        <w:t xml:space="preserve">[1:30 – 2:30] STAGE 1–2 — Incident detected → Customers impacted</w:t>
      </w:r>
    </w:p>
    <w:p>
      <w:pPr>
        <w:pStyle w:val="FirstParagraph"/>
      </w:pPr>
      <w:r>
        <w:rPr>
          <w:b/>
          <w:bCs/>
        </w:rPr>
        <w:t xml:space="preserve">Stage:</w:t>
      </w:r>
      <w:r>
        <w:t xml:space="preserve"> </w:t>
      </w:r>
      <w:r>
        <w:rPr>
          <w:rStyle w:val="VerbatimChar"/>
        </w:rPr>
        <w:t xml:space="preserve">incident_detected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customers_impacted</w:t>
      </w:r>
    </w:p>
    <w:p>
      <w:pPr>
        <w:pStyle w:val="BlockText"/>
      </w:pPr>
      <w:r>
        <w:t xml:space="preserve">“Network telemetry has just flagged an anomaly in</w:t>
      </w:r>
      <w:r>
        <w:t xml:space="preserve"> </w:t>
      </w:r>
      <w:r>
        <w:rPr>
          <w:b/>
          <w:bCs/>
        </w:rPr>
        <w:t xml:space="preserve">Manchester M14</w:t>
      </w:r>
      <w:r>
        <w:t xml:space="preserve">. Notice three things at once:</w:t>
      </w:r>
    </w:p>
    <w:p>
      <w:pPr>
        <w:pStyle w:val="BlockText"/>
      </w:pPr>
      <w:r>
        <w:t xml:space="preserve">First, the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— the incident radius is pulsing red around Manchester, and you can see the cell-site markers updating.</w:t>
      </w:r>
    </w:p>
    <w:p>
      <w:pPr>
        <w:pStyle w:val="BlockText"/>
      </w:pPr>
      <w:r>
        <w:t xml:space="preserve">Second, the</w:t>
      </w:r>
      <w:r>
        <w:t xml:space="preserve"> </w:t>
      </w:r>
      <w:r>
        <w:rPr>
          <w:b/>
          <w:bCs/>
        </w:rPr>
        <w:t xml:space="preserve">toast notification</w:t>
      </w:r>
      <w:r>
        <w:t xml:space="preserve"> </w:t>
      </w:r>
      <w:r>
        <w:t xml:space="preserve">in the top-right confirming the alert.</w:t>
      </w:r>
    </w:p>
    <w:p>
      <w:pPr>
        <w:pStyle w:val="BlockText"/>
      </w:pPr>
      <w:r>
        <w:t xml:space="preserve">Third, the</w:t>
      </w:r>
      <w:r>
        <w:t xml:space="preserve"> </w:t>
      </w:r>
      <w:r>
        <w:rPr>
          <w:b/>
          <w:bCs/>
        </w:rPr>
        <w:t xml:space="preserve">narrator</w:t>
      </w:r>
      <w:r>
        <w:t xml:space="preserve"> </w:t>
      </w:r>
      <w:r>
        <w:t xml:space="preserve">has automatically advanced to the operations script for this stage.</w:t>
      </w:r>
    </w:p>
    <w:p>
      <w:pPr>
        <w:pStyle w:val="BlockText"/>
      </w:pPr>
      <w:r>
        <w:t xml:space="preserve">Within seconds, the system tells us the impact:</w:t>
      </w:r>
      <w:r>
        <w:t xml:space="preserve"> </w:t>
      </w:r>
      <w:r>
        <w:rPr>
          <w:b/>
          <w:bCs/>
        </w:rPr>
        <w:t xml:space="preserve">2,417 customers</w:t>
      </w:r>
      <w:r>
        <w:t xml:space="preserve"> </w:t>
      </w:r>
      <w:r>
        <w:t xml:space="preserve">affected across</w:t>
      </w:r>
      <w:r>
        <w:t xml:space="preserve"> </w:t>
      </w:r>
      <w:r>
        <w:rPr>
          <w:b/>
          <w:bCs/>
        </w:rPr>
        <w:t xml:space="preserve">7 cell sites</w:t>
      </w:r>
      <w:r>
        <w:t xml:space="preserve">. Average download speed has dropped from</w:t>
      </w:r>
      <w:r>
        <w:t xml:space="preserve"> </w:t>
      </w:r>
      <w:r>
        <w:rPr>
          <w:b/>
          <w:bCs/>
        </w:rPr>
        <w:t xml:space="preserve">118 Mbps to 34 Mbps</w:t>
      </w:r>
      <w:r>
        <w:t xml:space="preserve">, dropped calls are up</w:t>
      </w:r>
      <w:r>
        <w:t xml:space="preserve"> </w:t>
      </w:r>
      <w:r>
        <w:rPr>
          <w:b/>
          <w:bCs/>
        </w:rPr>
        <w:t xml:space="preserve">37%</w:t>
      </w:r>
      <w:r>
        <w:t xml:space="preserve">, failed data sessions up</w:t>
      </w:r>
      <w:r>
        <w:t xml:space="preserve"> </w:t>
      </w:r>
      <w:r>
        <w:rPr>
          <w:b/>
          <w:bCs/>
        </w:rPr>
        <w:t xml:space="preserve">42%</w:t>
      </w:r>
      <w:r>
        <w:t xml:space="preserve">. Of those impacted:</w:t>
      </w:r>
      <w:r>
        <w:t xml:space="preserve"> </w:t>
      </w:r>
      <w:r>
        <w:rPr>
          <w:b/>
          <w:bCs/>
        </w:rPr>
        <w:t xml:space="preserve">312 are high-value customers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89 are P1 churn-risk</w:t>
      </w:r>
      <w:r>
        <w:t xml:space="preserve">.</w:t>
      </w:r>
    </w:p>
    <w:p>
      <w:pPr>
        <w:pStyle w:val="BlockText"/>
      </w:pPr>
      <w:r>
        <w:t xml:space="preserve">This is the moment in a traditional operator where complaint volume starts spiking. Care queues fill up. Twitter lights up. Here, we already know who’s affected, and we haven’t waited for a single customer to call.</w:t>
      </w:r>
    </w:p>
    <w:p>
      <w:pPr>
        <w:pStyle w:val="BlockText"/>
      </w:pPr>
      <w:r>
        <w:t xml:space="preserve">Look at the KPI strip at the top — every tile has a</w:t>
      </w:r>
      <w:r>
        <w:t xml:space="preserve"> </w:t>
      </w:r>
      <w:r>
        <w:rPr>
          <w:b/>
          <w:bCs/>
        </w:rPr>
        <w:t xml:space="preserve">sparkline</w:t>
      </w:r>
      <w:r>
        <w:t xml:space="preserve"> </w:t>
      </w:r>
      <w:r>
        <w:t xml:space="preserve">showing the last 24 hours of that metric. Impacted customers, P1 risk, high-value exposure, network experience score — you can see exactly when things broke and how fast they’re escalating.</w:t>
      </w:r>
    </w:p>
    <w:p>
      <w:pPr>
        <w:pStyle w:val="BlockText"/>
      </w:pPr>
      <w:r>
        <w:t xml:space="preserve">Below the Customer 360 panel, the</w:t>
      </w:r>
      <w:r>
        <w:t xml:space="preserve"> </w:t>
      </w:r>
      <w:r>
        <w:rPr>
          <w:b/>
          <w:bCs/>
        </w:rPr>
        <w:t xml:space="preserve">Live Event Stream</w:t>
      </w:r>
      <w:r>
        <w:t xml:space="preserve">. This is the operations team’s working view — every CDR ingest, every care contact, every model run, every approval, time-stamped. If you click into Event Stream from the sidebar, you get a full-screen feed with category filters: Network, Care, Billing, CDR, Decisioning, Activation.”</w:t>
      </w:r>
    </w:p>
    <w:p>
      <w:r>
        <w:pict>
          <v:rect style="width:0;height:1.5pt" o:hralign="center" o:hrstd="t" o:hr="t"/>
        </w:pict>
      </w:r>
    </w:p>
    <w:bookmarkEnd w:id="12"/>
    <w:bookmarkStart w:id="13" w:name="stage-34-churn-scored-customer-selected"/>
    <w:p>
      <w:pPr>
        <w:pStyle w:val="Heading2"/>
      </w:pPr>
      <w:r>
        <w:t xml:space="preserve">[2:30 – 3:45] STAGE 3–4 — Churn scored → Customer selected</w:t>
      </w:r>
    </w:p>
    <w:p>
      <w:pPr>
        <w:pStyle w:val="FirstParagraph"/>
      </w:pPr>
      <w:r>
        <w:rPr>
          <w:b/>
          <w:bCs/>
        </w:rPr>
        <w:t xml:space="preserve">Stage:</w:t>
      </w:r>
      <w:r>
        <w:t xml:space="preserve"> </w:t>
      </w:r>
      <w:r>
        <w:rPr>
          <w:rStyle w:val="VerbatimChar"/>
        </w:rPr>
        <w:t xml:space="preserve">churn_scored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customer_selected</w:t>
      </w:r>
    </w:p>
    <w:p>
      <w:pPr>
        <w:pStyle w:val="BlockText"/>
      </w:pPr>
      <w:r>
        <w:t xml:space="preserve">“The churn impact model has now re-scored every affected customer. You can see the at-risk list re-sorting in real time.</w:t>
      </w:r>
      <w:r>
        <w:t xml:space="preserve"> </w:t>
      </w:r>
      <w:r>
        <w:rPr>
          <w:b/>
          <w:bCs/>
        </w:rPr>
        <w:t xml:space="preserve">Amelia Hughes</w:t>
      </w:r>
      <w:r>
        <w:t xml:space="preserve"> </w:t>
      </w:r>
      <w:r>
        <w:t xml:space="preserve">rises to the top — her risk has jumped from</w:t>
      </w:r>
      <w:r>
        <w:t xml:space="preserve"> </w:t>
      </w:r>
      <w:r>
        <w:rPr>
          <w:b/>
          <w:bCs/>
        </w:rPr>
        <w:t xml:space="preserve">42% to 82%</w:t>
      </w:r>
      <w:r>
        <w:t xml:space="preserve"> </w:t>
      </w:r>
      <w:r>
        <w:t xml:space="preserve">in the last 14 days.</w:t>
      </w:r>
    </w:p>
    <w:p>
      <w:pPr>
        <w:pStyle w:val="BlockText"/>
      </w:pPr>
      <w:r>
        <w:t xml:space="preserve">Amelia is on</w:t>
      </w:r>
      <w:r>
        <w:t xml:space="preserve"> </w:t>
      </w:r>
      <w:r>
        <w:rPr>
          <w:b/>
          <w:bCs/>
        </w:rPr>
        <w:t xml:space="preserve">Three</w:t>
      </w:r>
      <w:r>
        <w:t xml:space="preserve">,</w:t>
      </w:r>
      <w:r>
        <w:t xml:space="preserve"> </w:t>
      </w:r>
      <w:r>
        <w:rPr>
          <w:b/>
          <w:bCs/>
        </w:rPr>
        <w:t xml:space="preserve">high value</w:t>
      </w:r>
      <w:r>
        <w:t xml:space="preserve">,</w:t>
      </w:r>
      <w:r>
        <w:t xml:space="preserve"> </w:t>
      </w:r>
      <w:r>
        <w:rPr>
          <w:b/>
          <w:bCs/>
        </w:rPr>
        <w:t xml:space="preserve">Manchester M14</w:t>
      </w:r>
      <w:r>
        <w:t xml:space="preserve">, contract ends in</w:t>
      </w:r>
      <w:r>
        <w:t xml:space="preserve"> </w:t>
      </w:r>
      <w:r>
        <w:rPr>
          <w:b/>
          <w:bCs/>
        </w:rPr>
        <w:t xml:space="preserve">21 days</w:t>
      </w:r>
      <w:r>
        <w:t xml:space="preserve">. The Customer 360 panel has automatically opened on the right — six tabs: Overview, Churn, Network, Care, Usage &amp; Billing, Offers.</w:t>
      </w:r>
    </w:p>
    <w:p>
      <w:pPr>
        <w:pStyle w:val="BlockText"/>
      </w:pPr>
      <w:r>
        <w:t xml:space="preserve">Look at the</w:t>
      </w:r>
      <w:r>
        <w:t xml:space="preserve"> </w:t>
      </w:r>
      <w:r>
        <w:rPr>
          <w:b/>
          <w:bCs/>
        </w:rPr>
        <w:t xml:space="preserve">Churn tab</w:t>
      </w:r>
      <w:r>
        <w:t xml:space="preserve">. There’s a churn risk gauge, the 30/60/90-day probability cards, and a 12-week trend showing risk creeping up gradually before jumping today.</w:t>
      </w:r>
    </w:p>
    <w:p>
      <w:pPr>
        <w:pStyle w:val="BlockText"/>
      </w:pPr>
      <w:r>
        <w:t xml:space="preserve">But the headline analytical moment is the</w:t>
      </w:r>
      <w:r>
        <w:t xml:space="preserve"> </w:t>
      </w:r>
      <w:r>
        <w:rPr>
          <w:b/>
          <w:bCs/>
        </w:rPr>
        <w:t xml:space="preserve">Why is this customer at risk?</w:t>
      </w:r>
      <w:r>
        <w:t xml:space="preserve"> </w:t>
      </w:r>
      <w:r>
        <w:t xml:space="preserve">panel. Five drivers, every one with evidence, every one signal-typed: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Contract ending in 21 days</w:t>
      </w:r>
      <w:r>
        <w:t xml:space="preserve"> </w:t>
      </w:r>
      <w:r>
        <w:t xml:space="preserve">— 24 points contribution, signal type: Commercial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Network experience degradation</w:t>
      </w:r>
      <w:r>
        <w:t xml:space="preserve"> </w:t>
      </w:r>
      <w:r>
        <w:t xml:space="preserve">— 21 points, with 12 dropped calls and 7 failed data sessions in the last 14 days, signal type: Network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 complaint, unresolved 5 days, SLA breach predicted</w:t>
      </w:r>
      <w:r>
        <w:t xml:space="preserve"> </w:t>
      </w:r>
      <w:r>
        <w:t xml:space="preserve">— 17 points, signal type: Care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Competitor SIM-only offer £6/month below current plan</w:t>
      </w:r>
      <w:r>
        <w:t xml:space="preserve"> </w:t>
      </w:r>
      <w:r>
        <w:t xml:space="preserve">— 11 points, signal type: Market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Bill shock, latest bill 28% above three-month average due to roaming overage</w:t>
      </w:r>
      <w:r>
        <w:t xml:space="preserve"> </w:t>
      </w:r>
      <w:r>
        <w:t xml:space="preserve">— 9 points, signal type: Billing</w:t>
      </w:r>
    </w:p>
    <w:p>
      <w:pPr>
        <w:pStyle w:val="BlockText"/>
      </w:pPr>
      <w:r>
        <w:t xml:space="preserve">This isn’t a generic AI score. Every contribution is</w:t>
      </w:r>
      <w:r>
        <w:t xml:space="preserve"> </w:t>
      </w:r>
      <w:r>
        <w:rPr>
          <w:b/>
          <w:bCs/>
        </w:rPr>
        <w:t xml:space="preserve">explainable</w:t>
      </w:r>
      <w:r>
        <w:t xml:space="preserve">, every signal is</w:t>
      </w:r>
      <w:r>
        <w:t xml:space="preserve"> </w:t>
      </w:r>
      <w:r>
        <w:rPr>
          <w:b/>
          <w:bCs/>
        </w:rPr>
        <w:t xml:space="preserve">traceable</w:t>
      </w:r>
      <w:r>
        <w:t xml:space="preserve">. Model version is on the card —</w:t>
      </w:r>
      <w:r>
        <w:t xml:space="preserve"> </w:t>
      </w:r>
      <w:r>
        <w:rPr>
          <w:rStyle w:val="VerbatimChar"/>
        </w:rPr>
        <w:t xml:space="preserve">CHURN_MODEL_UK_MOBILE_V3.2</w:t>
      </w:r>
      <w:r>
        <w:t xml:space="preserve">. Last scored two minutes ago. Confidence 87%.</w:t>
      </w:r>
    </w:p>
    <w:p>
      <w:pPr>
        <w:pStyle w:val="BlockText"/>
      </w:pPr>
      <w:r>
        <w:t xml:space="preserve">And every churn driver here maps back to a real gold table and column in Snowflake — I’ll show you that in the</w:t>
      </w:r>
      <w:r>
        <w:t xml:space="preserve"> </w:t>
      </w:r>
      <w:r>
        <w:rPr>
          <w:b/>
          <w:bCs/>
        </w:rPr>
        <w:t xml:space="preserve">Decision Lineage</w:t>
      </w:r>
      <w:r>
        <w:t xml:space="preserve"> </w:t>
      </w:r>
      <w:r>
        <w:t xml:space="preserve">page in a moment.”</w:t>
      </w:r>
    </w:p>
    <w:p>
      <w:r>
        <w:pict>
          <v:rect style="width:0;height:1.5pt" o:hralign="center" o:hrstd="t" o:hr="t"/>
        </w:pict>
      </w:r>
    </w:p>
    <w:bookmarkEnd w:id="13"/>
    <w:bookmarkStart w:id="14" w:name="X0f2caba98ffa5d8e0958f7fa16cf233952629e9"/>
    <w:p>
      <w:pPr>
        <w:pStyle w:val="Heading2"/>
      </w:pPr>
      <w:r>
        <w:t xml:space="preserve">[3:45 – 5:15] STAGE 5–6 — Offer generated + retention message preview + suppression</w:t>
      </w:r>
    </w:p>
    <w:p>
      <w:pPr>
        <w:pStyle w:val="FirstParagraph"/>
      </w:pPr>
      <w:r>
        <w:rPr>
          <w:b/>
          <w:bCs/>
        </w:rPr>
        <w:t xml:space="preserve">Stage:</w:t>
      </w:r>
      <w:r>
        <w:t xml:space="preserve"> </w:t>
      </w:r>
      <w:r>
        <w:rPr>
          <w:rStyle w:val="VerbatimChar"/>
        </w:rPr>
        <w:t xml:space="preserve">offer_generated</w:t>
      </w:r>
    </w:p>
    <w:p>
      <w:pPr>
        <w:pStyle w:val="BlockText"/>
      </w:pPr>
      <w:r>
        <w:t xml:space="preserve">“Now decisioning takes over. Watch the Next Best Action panel.</w:t>
      </w:r>
    </w:p>
    <w:p>
      <w:pPr>
        <w:pStyle w:val="BlockText"/>
      </w:pPr>
      <w:r>
        <w:t xml:space="preserve">Eligibility is checked. Propensity is scored. Margin is verified. Treatment uplift is calculated…</w:t>
      </w:r>
    </w:p>
    <w:p>
      <w:pPr>
        <w:pStyle w:val="BlockText"/>
      </w:pPr>
      <w:r>
        <w:t xml:space="preserve">…and we have a</w:t>
      </w:r>
      <w:r>
        <w:t xml:space="preserve"> </w:t>
      </w:r>
      <w:r>
        <w:rPr>
          <w:b/>
          <w:bCs/>
        </w:rPr>
        <w:t xml:space="preserve">ranked recommendation</w:t>
      </w:r>
      <w:r>
        <w:t xml:space="preserve">.</w:t>
      </w:r>
    </w:p>
    <w:p>
      <w:pPr>
        <w:pStyle w:val="BlockText"/>
      </w:pPr>
      <w:r>
        <w:t xml:space="preserve">The headline action:</w:t>
      </w:r>
      <w:r>
        <w:t xml:space="preserve"> </w:t>
      </w:r>
      <w:r>
        <w:rPr>
          <w:b/>
          <w:bCs/>
        </w:rPr>
        <w:t xml:space="preserve">‘Proactive apology + £5 loyalty credit + network issue update + unlimited 5G retention plan.’</w:t>
      </w:r>
      <w:r>
        <w:t xml:space="preserve"> </w:t>
      </w:r>
      <w:r>
        <w:rPr>
          <w:b/>
          <w:bCs/>
        </w:rPr>
        <w:t xml:space="preserve">64% acceptance probability</w:t>
      </w:r>
      <w:r>
        <w:t xml:space="preserve">. Projected</w:t>
      </w:r>
      <w:r>
        <w:t xml:space="preserve"> </w:t>
      </w:r>
      <w:r>
        <w:rPr>
          <w:b/>
          <w:bCs/>
        </w:rPr>
        <w:t xml:space="preserve">41-point</w:t>
      </w:r>
      <w:r>
        <w:t xml:space="preserve"> </w:t>
      </w:r>
      <w:r>
        <w:t xml:space="preserve">churn risk reduction.</w:t>
      </w:r>
    </w:p>
    <w:p>
      <w:pPr>
        <w:pStyle w:val="BlockText"/>
      </w:pPr>
      <w:r>
        <w:t xml:space="preserve">Below it: a converged Mobile + Home Broadband bundle review at 51% acceptance. And a handset upgrade eligibility check at 38%.</w:t>
      </w:r>
    </w:p>
    <w:p>
      <w:pPr>
        <w:pStyle w:val="BlockText"/>
      </w:pPr>
      <w:r>
        <w:t xml:space="preserve">Now — and this is what’s new and powerful — scroll down. The</w:t>
      </w:r>
      <w:r>
        <w:t xml:space="preserve"> </w:t>
      </w:r>
      <w:r>
        <w:rPr>
          <w:b/>
          <w:bCs/>
        </w:rPr>
        <w:t xml:space="preserve">Activation Preview</w:t>
      </w:r>
      <w:r>
        <w:t xml:space="preserve">.</w:t>
      </w:r>
    </w:p>
    <w:p>
      <w:pPr>
        <w:pStyle w:val="BlockText"/>
      </w:pPr>
      <w:r>
        <w:t xml:space="preserve">This is</w:t>
      </w:r>
      <w:r>
        <w:t xml:space="preserve"> </w:t>
      </w:r>
      <w:r>
        <w:rPr>
          <w:b/>
          <w:bCs/>
        </w:rPr>
        <w:t xml:space="preserve">exactly the SMS, in-app push, and email</w:t>
      </w:r>
      <w:r>
        <w:t xml:space="preserve"> </w:t>
      </w:r>
      <w:r>
        <w:t xml:space="preserve">Amelia would receive. Personalised with her name, location, and brand. Branded properly. Signed off correctly. With opt-out language. Activation isn’t an abstraction — it’s ready to send.</w:t>
      </w:r>
    </w:p>
    <w:p>
      <w:pPr>
        <w:pStyle w:val="BlockText"/>
      </w:pPr>
      <w:r>
        <w:t xml:space="preserve">And critically, the</w:t>
      </w:r>
      <w:r>
        <w:t xml:space="preserve"> </w:t>
      </w:r>
      <w:r>
        <w:rPr>
          <w:b/>
          <w:bCs/>
        </w:rPr>
        <w:t xml:space="preserve">decisioning checks</w:t>
      </w:r>
      <w:r>
        <w:t xml:space="preserve"> </w:t>
      </w:r>
      <w:r>
        <w:t xml:space="preserve">are visible in the panel:</w:t>
      </w:r>
    </w:p>
    <w:p>
      <w:pPr>
        <w:pStyle w:val="Compact"/>
        <w:numPr>
          <w:ilvl w:val="0"/>
          <w:numId w:val="1003"/>
        </w:numPr>
      </w:pPr>
      <w:r>
        <w:t xml:space="preserve">Consent eligible — Yes</w:t>
      </w:r>
    </w:p>
    <w:p>
      <w:pPr>
        <w:pStyle w:val="Compact"/>
        <w:numPr>
          <w:ilvl w:val="0"/>
          <w:numId w:val="1003"/>
        </w:numPr>
      </w:pPr>
      <w:r>
        <w:t xml:space="preserve">Recent offer fatigue — None</w:t>
      </w:r>
    </w:p>
    <w:p>
      <w:pPr>
        <w:pStyle w:val="Compact"/>
        <w:numPr>
          <w:ilvl w:val="0"/>
          <w:numId w:val="1003"/>
        </w:numPr>
      </w:pPr>
      <w:r>
        <w:t xml:space="preserve">Margin floor — Above</w:t>
      </w:r>
    </w:p>
    <w:p>
      <w:pPr>
        <w:pStyle w:val="Compact"/>
        <w:numPr>
          <w:ilvl w:val="0"/>
          <w:numId w:val="1003"/>
        </w:numPr>
      </w:pPr>
      <w:r>
        <w:t xml:space="preserve">Open complaint — Yes,</w:t>
      </w:r>
      <w:r>
        <w:t xml:space="preserve"> </w:t>
      </w:r>
      <w:r>
        <w:rPr>
          <w:b/>
          <w:bCs/>
        </w:rPr>
        <w:t xml:space="preserve">resolve before any commercial offer fires</w:t>
      </w:r>
    </w:p>
    <w:p>
      <w:pPr>
        <w:pStyle w:val="BlockText"/>
      </w:pPr>
      <w:r>
        <w:t xml:space="preserve">That last point matters. The system is telling us:</w:t>
      </w:r>
      <w:r>
        <w:t xml:space="preserve"> </w:t>
      </w:r>
      <w:r>
        <w:t xml:space="preserve">‘Send the apology, send the service credit, but hold the commercial offer until the care issue is closed.’</w:t>
      </w:r>
      <w:r>
        <w:t xml:space="preserve"> </w:t>
      </w:r>
      <w:r>
        <w:t xml:space="preserve">That is built-in governance — the platform won’t let you make a commercial offer to a customer with an open complaint, no matter how juicy the propensity score.</w:t>
      </w:r>
    </w:p>
    <w:p>
      <w:pPr>
        <w:pStyle w:val="BlockText"/>
      </w:pPr>
      <w:r>
        <w:t xml:space="preserve">Let me show you suppression in action. If I click on</w:t>
      </w:r>
      <w:r>
        <w:t xml:space="preserve"> </w:t>
      </w:r>
      <w:r>
        <w:rPr>
          <w:b/>
          <w:bCs/>
        </w:rPr>
        <w:t xml:space="preserve">Owen Brennan</w:t>
      </w:r>
      <w:r>
        <w:t xml:space="preserve"> </w:t>
      </w:r>
      <w:r>
        <w:t xml:space="preserve">in the at-risk list…”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CUST-006</w:t>
      </w:r>
      <w:r>
        <w:t xml:space="preserve"> </w:t>
      </w:r>
      <w:r>
        <w:t xml:space="preserve">/ Owen Brennan in the at-risk list.</w:t>
      </w:r>
    </w:p>
    <w:p>
      <w:pPr>
        <w:pStyle w:val="BlockText"/>
      </w:pPr>
      <w:r>
        <w:t xml:space="preserve">“…you’ll see Owen is</w:t>
      </w:r>
      <w:r>
        <w:t xml:space="preserve"> </w:t>
      </w:r>
      <w:r>
        <w:rPr>
          <w:b/>
          <w:bCs/>
        </w:rPr>
        <w:t xml:space="preserve">suppressed</w:t>
      </w:r>
      <w:r>
        <w:t xml:space="preserve">. The reason is right there:</w:t>
      </w:r>
      <w:r>
        <w:t xml:space="preserve"> </w:t>
      </w:r>
      <w:r>
        <w:t xml:space="preserve">‘Customer received retention offer within last 14 days.’</w:t>
      </w:r>
      <w:r>
        <w:t xml:space="preserve"> </w:t>
      </w:r>
      <w:r>
        <w:t xml:space="preserve">Offer fatigue protection is automatic. No agent override needed. No marketing accident possible.</w:t>
      </w:r>
    </w:p>
    <w:p>
      <w:pPr>
        <w:pStyle w:val="BlockText"/>
      </w:pPr>
      <w:r>
        <w:t xml:space="preserve">Back to Amelia.”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Click</w:t>
      </w:r>
      <w:r>
        <w:t xml:space="preserve"> </w:t>
      </w:r>
      <w:r>
        <w:rPr>
          <w:rStyle w:val="VerbatimChar"/>
        </w:rPr>
        <w:t xml:space="preserve">CUST-001</w:t>
      </w:r>
      <w:r>
        <w:t xml:space="preserve"> </w:t>
      </w:r>
      <w:r>
        <w:t xml:space="preserve">/ Amelia.</w:t>
      </w:r>
    </w:p>
    <w:p>
      <w:r>
        <w:pict>
          <v:rect style="width:0;height:1.5pt" o:hralign="center" o:hrstd="t" o:hr="t"/>
        </w:pict>
      </w:r>
    </w:p>
    <w:bookmarkEnd w:id="14"/>
    <w:bookmarkStart w:id="15" w:name="Xd6d321b9d809f48fa929079fa0291ba520c78c4"/>
    <w:p>
      <w:pPr>
        <w:pStyle w:val="Heading2"/>
      </w:pPr>
      <w:r>
        <w:t xml:space="preserve">[5:15 – 6:15] APPROVAL WORKFLOW — How a campaign actually goes out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Approval Workflow</w:t>
      </w:r>
    </w:p>
    <w:p>
      <w:pPr>
        <w:pStyle w:val="BlockText"/>
      </w:pPr>
      <w:r>
        <w:t xml:space="preserve">“Every commercial offer flows through a four-step gate before it reaches a customer. Let me show you that explicitly.”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Click sidebar →</w:t>
      </w:r>
      <w:r>
        <w:t xml:space="preserve"> </w:t>
      </w:r>
      <w:r>
        <w:rPr>
          <w:b/>
          <w:bCs/>
        </w:rPr>
        <w:t xml:space="preserve">Approval Workflow</w:t>
      </w:r>
      <w:r>
        <w:t xml:space="preserve">.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Marketing review</w:t>
      </w:r>
      <w:r>
        <w:t xml:space="preserve"> </w:t>
      </w:r>
      <w:r>
        <w:t xml:space="preserve">— done at 09:43.</w:t>
      </w:r>
    </w:p>
    <w:p>
      <w:pPr>
        <w:pStyle w:val="BlockText"/>
      </w:pPr>
      <w:r>
        <w:rPr>
          <w:b/>
          <w:bCs/>
        </w:rPr>
        <w:t xml:space="preserve">Compliance check</w:t>
      </w:r>
      <w:r>
        <w:t xml:space="preserve"> </w:t>
      </w:r>
      <w:r>
        <w:t xml:space="preserve">— consent and margin floor — done at 09:44.</w:t>
      </w:r>
    </w:p>
    <w:p>
      <w:pPr>
        <w:pStyle w:val="BlockText"/>
      </w:pPr>
      <w:r>
        <w:rPr>
          <w:b/>
          <w:bCs/>
        </w:rPr>
        <w:t xml:space="preserve">Legal review</w:t>
      </w:r>
      <w:r>
        <w:t xml:space="preserve"> </w:t>
      </w:r>
      <w:r>
        <w:t xml:space="preserve">— currently active.</w:t>
      </w:r>
    </w:p>
    <w:p>
      <w:pPr>
        <w:pStyle w:val="BlockText"/>
      </w:pPr>
      <w:r>
        <w:rPr>
          <w:b/>
          <w:bCs/>
        </w:rPr>
        <w:t xml:space="preserve">Activation send</w:t>
      </w:r>
      <w:r>
        <w:t xml:space="preserve"> </w:t>
      </w:r>
      <w:r>
        <w:t xml:space="preserve">— pending.</w:t>
      </w:r>
    </w:p>
    <w:p>
      <w:pPr>
        <w:pStyle w:val="BlockText"/>
      </w:pPr>
      <w:r>
        <w:t xml:space="preserve">Every approval is timestamped, every approver is named, every step is audit-logged in Snowflake. If a regulator asks,</w:t>
      </w:r>
      <w:r>
        <w:t xml:space="preserve"> </w:t>
      </w:r>
      <w:r>
        <w:t xml:space="preserve">‘Who approved this campaign? When? On what basis?’</w:t>
      </w:r>
      <w:r>
        <w:t xml:space="preserve">, the answer is one query. This is what governed activation looks like.</w:t>
      </w:r>
    </w:p>
    <w:p>
      <w:pPr>
        <w:pStyle w:val="BlockText"/>
      </w:pPr>
      <w:r>
        <w:t xml:space="preserve">Underneath, the</w:t>
      </w:r>
      <w:r>
        <w:t xml:space="preserve"> </w:t>
      </w:r>
      <w:r>
        <w:rPr>
          <w:b/>
          <w:bCs/>
        </w:rPr>
        <w:t xml:space="preserve">approval principles</w:t>
      </w:r>
      <w:r>
        <w:t xml:space="preserve"> </w:t>
      </w:r>
      <w:r>
        <w:t xml:space="preserve">are spelled out: consent-aware activation, margin floor, offer fatigue, open-complaint hold, full audit trail. Nothing about this is opaque or off-the-books.”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 reset, or use back arrow to return to Command Center.</w:t>
      </w:r>
    </w:p>
    <w:p>
      <w:r>
        <w:pict>
          <v:rect style="width:0;height:1.5pt" o:hralign="center" o:hrstd="t" o:hr="t"/>
        </w:pict>
      </w:r>
    </w:p>
    <w:bookmarkEnd w:id="15"/>
    <w:bookmarkStart w:id="16" w:name="Xfc82d2184606d5f73d47db133a0748699186305"/>
    <w:p>
      <w:pPr>
        <w:pStyle w:val="Heading2"/>
      </w:pPr>
      <w:r>
        <w:t xml:space="preserve">[6:15 – 7:15] STAGE 7–8 — Outreach → Risk reduced + Self-healing</w:t>
      </w:r>
    </w:p>
    <w:p>
      <w:pPr>
        <w:pStyle w:val="FirstParagraph"/>
      </w:pPr>
      <w:r>
        <w:rPr>
          <w:b/>
          <w:bCs/>
        </w:rPr>
        <w:t xml:space="preserve">Stage:</w:t>
      </w:r>
      <w:r>
        <w:t xml:space="preserve"> </w:t>
      </w:r>
      <w:r>
        <w:rPr>
          <w:rStyle w:val="VerbatimChar"/>
        </w:rPr>
        <w:t xml:space="preserve">outreach_triggered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risk_reduced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Resume the demo with</w:t>
      </w:r>
      <w:r>
        <w:t xml:space="preserve"> </w:t>
      </w:r>
      <w:r>
        <w:rPr>
          <w:rStyle w:val="VerbatimChar"/>
        </w:rPr>
        <w:t xml:space="preserve">Space</w:t>
      </w:r>
      <w:r>
        <w:t xml:space="preserve"> </w:t>
      </w:r>
      <w:r>
        <w:t xml:space="preserve">(or it’s already at risk_reduced).</w:t>
      </w:r>
    </w:p>
    <w:p>
      <w:pPr>
        <w:pStyle w:val="BlockText"/>
      </w:pPr>
      <w:r>
        <w:t xml:space="preserve">“Outreach is now triggered — proactive SMS and app notification dispatched, care callback scheduled, network ticket escalated to RAN. The 89 P1 customers each got the same playbook in parallel.</w:t>
      </w:r>
    </w:p>
    <w:p>
      <w:pPr>
        <w:pStyle w:val="BlockText"/>
      </w:pPr>
      <w:r>
        <w:t xml:space="preserve">And here’s the outcome — Amelia’s</w:t>
      </w:r>
      <w:r>
        <w:t xml:space="preserve"> </w:t>
      </w:r>
      <w:r>
        <w:rPr>
          <w:b/>
          <w:bCs/>
        </w:rPr>
        <w:t xml:space="preserve">projected churn risk has dropped from 82% to 41%</w:t>
      </w:r>
      <w:r>
        <w:t xml:space="preserve">. The KPI strip has updated. The timeline shows action in progress.</w:t>
      </w:r>
    </w:p>
    <w:p>
      <w:pPr>
        <w:pStyle w:val="BlockText"/>
      </w:pPr>
      <w:r>
        <w:t xml:space="preserve">Now let me show you something powerful for the Network Operations team. Sidebar →</w:t>
      </w:r>
      <w:r>
        <w:t xml:space="preserve"> </w:t>
      </w:r>
      <w:r>
        <w:rPr>
          <w:b/>
          <w:bCs/>
        </w:rPr>
        <w:t xml:space="preserve">Network Map</w:t>
      </w:r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Network Map</w:t>
      </w:r>
      <w:r>
        <w:t xml:space="preserve">, click</w:t>
      </w:r>
      <w:r>
        <w:t xml:space="preserve"> </w:t>
      </w:r>
      <w:r>
        <w:rPr>
          <w:b/>
          <w:bCs/>
        </w:rPr>
        <w:t xml:space="preserve">Play resolution</w:t>
      </w:r>
      <w:r>
        <w:t xml:space="preserve">.</w:t>
      </w:r>
    </w:p>
    <w:p>
      <w:pPr>
        <w:pStyle w:val="BlockText"/>
      </w:pPr>
      <w:r>
        <w:t xml:space="preserve">“This is the full-screen network map with</w:t>
      </w:r>
      <w:r>
        <w:t xml:space="preserve"> </w:t>
      </w:r>
      <w:r>
        <w:rPr>
          <w:b/>
          <w:bCs/>
        </w:rPr>
        <w:t xml:space="preserve">self-healing playback</w:t>
      </w:r>
      <w:r>
        <w:t xml:space="preserve">. Click</w:t>
      </w:r>
      <w:r>
        <w:t xml:space="preserve"> </w:t>
      </w:r>
      <w:r>
        <w:t xml:space="preserve">‘Play resolution’</w:t>
      </w:r>
      <w:r>
        <w:t xml:space="preserve"> </w:t>
      </w:r>
      <w:r>
        <w:t xml:space="preserve">and you’ll see the incident radius</w:t>
      </w:r>
      <w:r>
        <w:t xml:space="preserve"> </w:t>
      </w:r>
      <w:r>
        <w:rPr>
          <w:b/>
          <w:bCs/>
        </w:rPr>
        <w:t xml:space="preserve">shrinking</w:t>
      </w:r>
      <w:r>
        <w:t xml:space="preserve"> </w:t>
      </w:r>
      <w:r>
        <w:t xml:space="preserve">in real time as the seven cell sites recover one by one — green dots replacing red. The MTTR counter ticks down from 12 minutes. Customers cleared.</w:t>
      </w:r>
    </w:p>
    <w:p>
      <w:pPr>
        <w:pStyle w:val="BlockText"/>
      </w:pPr>
      <w:r>
        <w:t xml:space="preserve">Three map tones at the top — OSM, light, dark — for different ops centre environments. Network operators tend to like the dark mode.”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to switch to dark Network-Ops theme briefly to show, then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again.</w:t>
      </w:r>
    </w:p>
    <w:p>
      <w:r>
        <w:pict>
          <v:rect style="width:0;height:1.5pt" o:hralign="center" o:hrstd="t" o:hr="t"/>
        </w:pict>
      </w:r>
    </w:p>
    <w:bookmarkEnd w:id="16"/>
    <w:bookmarkStart w:id="17" w:name="X9a83fbddec327bf8f786b1c7e5335691fbdbc89"/>
    <w:p>
      <w:pPr>
        <w:pStyle w:val="Heading2"/>
      </w:pPr>
      <w:r>
        <w:t xml:space="preserve">[7:15 – 8:00] ASK CIC — Conversational analytics with Cortex AI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Press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to open the Ask CIC drawer.</w:t>
      </w:r>
    </w:p>
    <w:p>
      <w:pPr>
        <w:pStyle w:val="BlockText"/>
      </w:pPr>
      <w:r>
        <w:t xml:space="preserve">“Every executive expects to ask questions in natural language. Here’s</w:t>
      </w:r>
      <w:r>
        <w:t xml:space="preserve"> </w:t>
      </w:r>
      <w:r>
        <w:rPr>
          <w:b/>
          <w:bCs/>
        </w:rPr>
        <w:t xml:space="preserve">Ask CIC</w:t>
      </w:r>
      <w:r>
        <w:t xml:space="preserve">, powered by</w:t>
      </w:r>
      <w:r>
        <w:t xml:space="preserve"> </w:t>
      </w:r>
      <w:r>
        <w:rPr>
          <w:b/>
          <w:bCs/>
        </w:rPr>
        <w:t xml:space="preserve">Snowflake Cortex AI</w:t>
      </w:r>
      <w:r>
        <w:t xml:space="preserve"> </w:t>
      </w:r>
      <w:r>
        <w:t xml:space="preserve">over the same governed semantic layer that powers everything else you’ve seen.</w:t>
      </w:r>
    </w:p>
    <w:p>
      <w:pPr>
        <w:pStyle w:val="BlockText"/>
      </w:pPr>
      <w:r>
        <w:t xml:space="preserve">Suggested prompts at the top. Let me click</w:t>
      </w:r>
      <w:r>
        <w:t xml:space="preserve"> </w:t>
      </w:r>
      <w:r>
        <w:t xml:space="preserve">‘What happens if we do nothing?’</w:t>
      </w:r>
      <w:r>
        <w:t xml:space="preserve">…”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Click suggested prompt</w:t>
      </w:r>
      <w:r>
        <w:t xml:space="preserve"> </w:t>
      </w:r>
      <w:r>
        <w:rPr>
          <w:b/>
          <w:bCs/>
        </w:rPr>
        <w:t xml:space="preserve">“What happens if we do nothing?”</w:t>
      </w:r>
    </w:p>
    <w:p>
      <w:pPr>
        <w:pStyle w:val="BlockText"/>
      </w:pPr>
      <w:r>
        <w:t xml:space="preserve">“Streaming response, like any modern AI assistant. The answer: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51 expected churners</w:t>
      </w:r>
      <w:r>
        <w:t xml:space="preserve"> </w:t>
      </w:r>
      <w:r>
        <w:t xml:space="preserve">in the next 90 days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£163,000 in lost CLV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+1,840 incoming care contacts</w:t>
      </w:r>
      <w:r>
        <w:t xml:space="preserve"> </w:t>
      </w:r>
      <w:r>
        <w:t xml:space="preserve">that won’t happen if we act now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NPS impact: -3 points</w:t>
      </w:r>
      <w:r>
        <w:t xml:space="preserve"> </w:t>
      </w:r>
      <w:r>
        <w:t xml:space="preserve">across the Manchester base</w:t>
      </w:r>
    </w:p>
    <w:p>
      <w:pPr>
        <w:pStyle w:val="BlockText"/>
      </w:pPr>
      <w:r>
        <w:t xml:space="preserve">Acting now reduces that to</w:t>
      </w:r>
      <w:r>
        <w:t xml:space="preserve"> </w:t>
      </w:r>
      <w:r>
        <w:rPr>
          <w:b/>
          <w:bCs/>
        </w:rPr>
        <w:t xml:space="preserve">22 churners</w:t>
      </w:r>
      <w:r>
        <w:t xml:space="preserve"> </w:t>
      </w:r>
      <w:r>
        <w:t xml:space="preserve">and protects</w:t>
      </w:r>
      <w:r>
        <w:t xml:space="preserve"> </w:t>
      </w:r>
      <w:r>
        <w:rPr>
          <w:b/>
          <w:bCs/>
        </w:rPr>
        <w:t xml:space="preserve">£93,640</w:t>
      </w:r>
      <w:r>
        <w:t xml:space="preserve"> </w:t>
      </w:r>
      <w:r>
        <w:t xml:space="preserve">of CLV.</w:t>
      </w:r>
    </w:p>
    <w:p>
      <w:pPr>
        <w:pStyle w:val="BlockText"/>
      </w:pPr>
      <w:r>
        <w:t xml:space="preserve">And the most important part — every answer comes with</w:t>
      </w:r>
      <w:r>
        <w:t xml:space="preserve"> </w:t>
      </w:r>
      <w:r>
        <w:rPr>
          <w:b/>
          <w:bCs/>
        </w:rPr>
        <w:t xml:space="preserve">citation chips</w:t>
      </w:r>
      <w:r>
        <w:t xml:space="preserve">.</w:t>
      </w:r>
      <w:r>
        <w:t xml:space="preserve"> </w:t>
      </w:r>
      <w:r>
        <w:rPr>
          <w:rStyle w:val="VerbatimChar"/>
        </w:rPr>
        <w:t xml:space="preserve">gold.churn_features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gold.uplift_predictions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gold.executive_kpi_marts</w:t>
      </w:r>
      <w:r>
        <w:t xml:space="preserve">. The user can verify exactly which governed tables produced the answer. This is the difference between a hallucinating chatbot and a governed Cortex AI agent.</w:t>
      </w:r>
    </w:p>
    <w:p>
      <w:pPr>
        <w:pStyle w:val="BlockText"/>
      </w:pPr>
      <w:r>
        <w:t xml:space="preserve">Try another.</w:t>
      </w:r>
      <w:r>
        <w:t xml:space="preserve"> </w:t>
      </w:r>
      <w:r>
        <w:t xml:space="preserve">‘Why is Amelia at risk?’</w:t>
      </w:r>
      <w:r>
        <w:t xml:space="preserve"> </w:t>
      </w:r>
      <w:r>
        <w:t xml:space="preserve">— same five drivers, same evidence, written in plain English.</w:t>
      </w:r>
      <w:r>
        <w:t xml:space="preserve"> </w:t>
      </w:r>
      <w:r>
        <w:t xml:space="preserve">‘Which segment has the worst churn?’</w:t>
      </w:r>
      <w:r>
        <w:t xml:space="preserve"> </w:t>
      </w:r>
      <w:r>
        <w:t xml:space="preserve">— SMARTY at 15.7%, then VOXI at 13.2%.”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Close chat with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or X.</w:t>
      </w:r>
    </w:p>
    <w:p>
      <w:r>
        <w:pict>
          <v:rect style="width:0;height:1.5pt" o:hralign="center" o:hrstd="t" o:hr="t"/>
        </w:pict>
      </w:r>
    </w:p>
    <w:bookmarkEnd w:id="17"/>
    <w:bookmarkStart w:id="18" w:name="X76dd1898cd69f0048e94e550a63427aac876747"/>
    <w:p>
      <w:pPr>
        <w:pStyle w:val="Heading2"/>
      </w:pPr>
      <w:r>
        <w:t xml:space="preserve">[8:00 – 9:00] EXECUTIVE INSIGHTS + COUNTERFACTUAL + BRIEFING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Executive Insights</w:t>
      </w:r>
    </w:p>
    <w:p>
      <w:pPr>
        <w:pStyle w:val="BlockText"/>
      </w:pPr>
      <w:r>
        <w:t xml:space="preserve">“Now zoom out for the executive view.”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Executive Insights</w:t>
      </w:r>
      <w:r>
        <w:t xml:space="preserve">.</w:t>
      </w:r>
    </w:p>
    <w:p>
      <w:pPr>
        <w:pStyle w:val="BlockText"/>
      </w:pPr>
      <w:r>
        <w:t xml:space="preserve">“Risk distribution across the entire customer base. Churn by segment. Risk by driver. Revenue at risk — MRR, 90-day exposure, CLV, high-value segment exposure. Network quality trend. Incident impact by city.</w:t>
      </w:r>
    </w:p>
    <w:p>
      <w:pPr>
        <w:pStyle w:val="BlockText"/>
      </w:pPr>
      <w:r>
        <w:t xml:space="preserve">Every chart has a</w:t>
      </w:r>
      <w:r>
        <w:t xml:space="preserve"> </w:t>
      </w:r>
      <w:r>
        <w:rPr>
          <w:b/>
          <w:bCs/>
        </w:rPr>
        <w:t xml:space="preserve">last-updated</w:t>
      </w:r>
      <w:r>
        <w:t xml:space="preserve"> </w:t>
      </w:r>
      <w:r>
        <w:t xml:space="preserve">badge — these would refresh in near-real-time in production.</w:t>
      </w:r>
    </w:p>
    <w:p>
      <w:pPr>
        <w:pStyle w:val="BlockText"/>
      </w:pPr>
      <w:r>
        <w:t xml:space="preserve">The most important toggle on this page is at the top:</w:t>
      </w:r>
      <w:r>
        <w:t xml:space="preserve"> </w:t>
      </w:r>
      <w:r>
        <w:rPr>
          <w:b/>
          <w:bCs/>
        </w:rPr>
        <w:t xml:space="preserve">‘Showing: With actions’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‘Showing: Do nothing’</w:t>
      </w:r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Click the toggle to switch to</w:t>
      </w:r>
      <w:r>
        <w:t xml:space="preserve"> </w:t>
      </w:r>
      <w:r>
        <w:t xml:space="preserve">“Do nothing”</w:t>
      </w:r>
      <w:r>
        <w:t xml:space="preserve">.</w:t>
      </w:r>
    </w:p>
    <w:p>
      <w:pPr>
        <w:pStyle w:val="BlockText"/>
      </w:pPr>
      <w:r>
        <w:t xml:space="preserve">“</w:t>
      </w:r>
      <w:r>
        <w:rPr>
          <w:b/>
          <w:bCs/>
        </w:rPr>
        <w:t xml:space="preserve">Counterfactual mode.</w:t>
      </w:r>
      <w:r>
        <w:t xml:space="preserve"> </w:t>
      </w:r>
      <w:r>
        <w:t xml:space="preserve">This is what the cohort looks like if we don’t act.</w:t>
      </w:r>
      <w:r>
        <w:t xml:space="preserve"> </w:t>
      </w:r>
      <w:r>
        <w:rPr>
          <w:b/>
          <w:bCs/>
        </w:rPr>
        <w:t xml:space="preserve">51 churners. £163,400 CLV lost. +1,840 contacts into care. -3 NPS.</w:t>
      </w:r>
      <w:r>
        <w:t xml:space="preserve"> </w:t>
      </w:r>
      <w:r>
        <w:t xml:space="preserve">That is the cost of inaction.</w:t>
      </w:r>
    </w:p>
    <w:p>
      <w:pPr>
        <w:pStyle w:val="BlockText"/>
      </w:pPr>
      <w:r>
        <w:t xml:space="preserve">Toggle back.</w:t>
      </w:r>
      <w:r>
        <w:t xml:space="preserve"> </w:t>
      </w:r>
      <w:r>
        <w:rPr>
          <w:b/>
          <w:bCs/>
        </w:rPr>
        <w:t xml:space="preserve">22 churners. £93,640 protected.</w:t>
      </w:r>
    </w:p>
    <w:p>
      <w:pPr>
        <w:pStyle w:val="BlockText"/>
      </w:pPr>
      <w:r>
        <w:t xml:space="preserve">That number — £163,000 saved on a single Manchester incident — is the line that closes the business case. Times that by the number of similar incidents per quarter, and you have the value of this platform.</w:t>
      </w:r>
    </w:p>
    <w:p>
      <w:pPr>
        <w:pStyle w:val="BlockText"/>
      </w:pPr>
      <w:r>
        <w:t xml:space="preserve">One more thing for the board. Sidebar →</w:t>
      </w:r>
      <w:r>
        <w:t xml:space="preserve"> </w:t>
      </w:r>
      <w:r>
        <w:rPr>
          <w:b/>
          <w:bCs/>
        </w:rPr>
        <w:t xml:space="preserve">Briefing Export</w:t>
      </w:r>
      <w:r>
        <w:t xml:space="preserve">.”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Briefing Export</w:t>
      </w:r>
      <w:r>
        <w:t xml:space="preserve">.</w:t>
      </w:r>
    </w:p>
    <w:p>
      <w:pPr>
        <w:pStyle w:val="BlockText"/>
      </w:pPr>
      <w:r>
        <w:t xml:space="preserve">“Print-styled, one-page executive briefing. Situation, action taken, top 5 P1 customers, projected outcomes, next steps.</w:t>
      </w:r>
      <w:r>
        <w:t xml:space="preserve"> </w:t>
      </w:r>
      <w:r>
        <w:rPr>
          <w:b/>
          <w:bCs/>
        </w:rPr>
        <w:t xml:space="preserve">Print to PDF</w:t>
      </w:r>
      <w:r>
        <w:t xml:space="preserve">, attach to the board pack, done.”</w:t>
      </w:r>
    </w:p>
    <w:p>
      <w:r>
        <w:pict>
          <v:rect style="width:0;height:1.5pt" o:hralign="center" o:hrstd="t" o:hr="t"/>
        </w:pict>
      </w:r>
    </w:p>
    <w:bookmarkEnd w:id="18"/>
    <w:bookmarkStart w:id="19" w:name="X65245bf7f7d6f268c45009514b213f913bc9967"/>
    <w:p>
      <w:pPr>
        <w:pStyle w:val="Heading2"/>
      </w:pPr>
      <w:r>
        <w:t xml:space="preserve">[9:00 – 9:45] ARCHITECTURE &amp; LINEAGE — Production blueprint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Snowflake Blueprint</w:t>
      </w:r>
      <w:r>
        <w:t xml:space="preserve">.</w:t>
      </w:r>
    </w:p>
    <w:p>
      <w:pPr>
        <w:pStyle w:val="BlockText"/>
      </w:pPr>
      <w:r>
        <w:t xml:space="preserve">“The browser demo uses hardcoded data. This is how it would run in production on</w:t>
      </w:r>
      <w:r>
        <w:t xml:space="preserve"> </w:t>
      </w:r>
      <w:r>
        <w:rPr>
          <w:b/>
          <w:bCs/>
        </w:rPr>
        <w:t xml:space="preserve">Snowflake</w:t>
      </w:r>
      <w:r>
        <w:t xml:space="preserve">.</w:t>
      </w:r>
    </w:p>
    <w:p>
      <w:pPr>
        <w:pStyle w:val="BlockText"/>
      </w:pPr>
      <w:r>
        <w:t xml:space="preserve">Sources on the left — CRM, billing, CDRs, RAN telemetry, care, app events, consent, competitor benchmarks.</w:t>
      </w:r>
      <w:r>
        <w:t xml:space="preserve"> </w:t>
      </w:r>
      <w:r>
        <w:rPr>
          <w:b/>
          <w:bCs/>
        </w:rPr>
        <w:t xml:space="preserve">Snowpipe Streaming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Kafka connector</w:t>
      </w:r>
      <w:r>
        <w:t xml:space="preserve"> </w:t>
      </w:r>
      <w:r>
        <w:t xml:space="preserve">land them.</w:t>
      </w:r>
      <w:r>
        <w:t xml:space="preserve"> </w:t>
      </w:r>
      <w:r>
        <w:rPr>
          <w:b/>
          <w:bCs/>
        </w:rPr>
        <w:t xml:space="preserve">Bronze, Silver, Gold</w:t>
      </w:r>
      <w:r>
        <w:t xml:space="preserve"> </w:t>
      </w:r>
      <w:r>
        <w:t xml:space="preserve">medallion layers, with identity resolution unifying Vodafone, Three, SMARTY, VOXI, Talkmobile into a single Customer 360.</w:t>
      </w:r>
    </w:p>
    <w:p>
      <w:pPr>
        <w:pStyle w:val="BlockText"/>
      </w:pPr>
      <w:r>
        <w:rPr>
          <w:b/>
          <w:bCs/>
        </w:rPr>
        <w:t xml:space="preserve">Dynamic Tables, Streams, Tasks, Snowpark</w:t>
      </w:r>
      <w:r>
        <w:t xml:space="preserve"> </w:t>
      </w:r>
      <w:r>
        <w:t xml:space="preserve">for the feature pipelines.</w:t>
      </w:r>
      <w:r>
        <w:t xml:space="preserve"> </w:t>
      </w:r>
      <w:r>
        <w:rPr>
          <w:b/>
          <w:bCs/>
        </w:rPr>
        <w:t xml:space="preserve">Snowpark ML</w:t>
      </w:r>
      <w:r>
        <w:t xml:space="preserve"> </w:t>
      </w:r>
      <w:r>
        <w:t xml:space="preserve">for churn, propensity, CLV, network impact, and treatment uplift models.</w:t>
      </w:r>
      <w:r>
        <w:t xml:space="preserve"> </w:t>
      </w:r>
      <w:r>
        <w:rPr>
          <w:b/>
          <w:bCs/>
        </w:rPr>
        <w:t xml:space="preserve">Cortex AI</w:t>
      </w:r>
      <w:r>
        <w:t xml:space="preserve"> </w:t>
      </w:r>
      <w:r>
        <w:t xml:space="preserve">powers Ask CIC. Activation lights up the Command Center, agent desktop, contact-centre routing, SMS, push, app personalization, and NOC.</w:t>
      </w:r>
    </w:p>
    <w:p>
      <w:pPr>
        <w:pStyle w:val="BlockText"/>
      </w:pPr>
      <w:r>
        <w:rPr>
          <w:b/>
          <w:bCs/>
        </w:rPr>
        <w:t xml:space="preserve">Cross-cutting governance</w:t>
      </w:r>
      <w:r>
        <w:t xml:space="preserve"> </w:t>
      </w:r>
      <w:r>
        <w:t xml:space="preserve">— masking, row access, tagging, lineage, access history, consent-aware activation.</w:t>
      </w:r>
      <w:r>
        <w:t xml:space="preserve"> </w:t>
      </w:r>
      <w:r>
        <w:rPr>
          <w:b/>
          <w:bCs/>
        </w:rPr>
        <w:t xml:space="preserve">Cross-cutting observability</w:t>
      </w:r>
      <w:r>
        <w:t xml:space="preserve"> </w:t>
      </w:r>
      <w:r>
        <w:t xml:space="preserve">— pipeline health, model drift, cost, SLA.</w:t>
      </w:r>
    </w:p>
    <w:p>
      <w:pPr>
        <w:pStyle w:val="BlockText"/>
      </w:pPr>
      <w:r>
        <w:t xml:space="preserve">Snowflake isn’t just the database here. It’s the governed data cloud, the feature pipeline, the ML environment, the decisioning layer, and the activation layer — in one place.”</w:t>
      </w:r>
    </w:p>
    <w:p>
      <w:pPr>
        <w:pStyle w:val="FirstParagraph"/>
      </w:pPr>
      <w:r>
        <w:rPr>
          <w:b/>
          <w:bCs/>
        </w:rPr>
        <w:t xml:space="preserve">Action:</w:t>
      </w:r>
      <w:r>
        <w:t xml:space="preserve"> </w:t>
      </w:r>
      <w:r>
        <w:t xml:space="preserve">Sidebar →</w:t>
      </w:r>
      <w:r>
        <w:t xml:space="preserve"> </w:t>
      </w:r>
      <w:r>
        <w:rPr>
          <w:b/>
          <w:bCs/>
        </w:rPr>
        <w:t xml:space="preserve">Decision Lineage</w:t>
      </w:r>
      <w:r>
        <w:t xml:space="preserve">.</w:t>
      </w:r>
    </w:p>
    <w:p>
      <w:pPr>
        <w:pStyle w:val="BlockText"/>
      </w:pPr>
      <w:r>
        <w:t xml:space="preserve">“And to close the loop on explainability —</w:t>
      </w:r>
      <w:r>
        <w:t xml:space="preserve"> </w:t>
      </w:r>
      <w:r>
        <w:rPr>
          <w:b/>
          <w:bCs/>
        </w:rPr>
        <w:t xml:space="preserve">Decision Lineage</w:t>
      </w:r>
      <w:r>
        <w:t xml:space="preserve">. Every churn driver Amelia just saw is mapped back to the exact gold table and column that produced it, with the upstream silver and bronze tables behind it.</w:t>
      </w:r>
      <w:r>
        <w:t xml:space="preserve"> </w:t>
      </w:r>
      <w:r>
        <w:rPr>
          <w:rStyle w:val="VerbatimChar"/>
        </w:rPr>
        <w:t xml:space="preserve">gold.network_experience_score</w:t>
      </w:r>
      <w:r>
        <w:t xml:space="preserve"> </w:t>
      </w:r>
      <w:r>
        <w:t xml:space="preserve">traces back to</w:t>
      </w:r>
      <w:r>
        <w:t xml:space="preserve"> </w:t>
      </w:r>
      <w:r>
        <w:rPr>
          <w:rStyle w:val="VerbatimChar"/>
        </w:rPr>
        <w:t xml:space="preserve">silver.cdr_aggregates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silver.ran_telemetry</w:t>
      </w:r>
      <w:r>
        <w:t xml:space="preserve">, which trace back to</w:t>
      </w:r>
      <w:r>
        <w:t xml:space="preserve"> </w:t>
      </w:r>
      <w:r>
        <w:rPr>
          <w:rStyle w:val="VerbatimChar"/>
        </w:rPr>
        <w:t xml:space="preserve">bronze.cdr_raw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bronze.ran_raw</w:t>
      </w:r>
      <w:r>
        <w:t xml:space="preserve">. Every prediction is reproducible. Every score is auditable. Every regulator’s question has a one-query answer.”</w:t>
      </w:r>
    </w:p>
    <w:p>
      <w:r>
        <w:pict>
          <v:rect style="width:0;height:1.5pt" o:hralign="center" o:hrstd="t" o:hr="t"/>
        </w:pict>
      </w:r>
    </w:p>
    <w:bookmarkEnd w:id="19"/>
    <w:bookmarkStart w:id="20" w:name="close"/>
    <w:p>
      <w:pPr>
        <w:pStyle w:val="Heading2"/>
      </w:pPr>
      <w:r>
        <w:t xml:space="preserve">[9:45 – 10:00] CLOSE</w:t>
      </w:r>
    </w:p>
    <w:p>
      <w:pPr>
        <w:pStyle w:val="BlockText"/>
      </w:pPr>
      <w:r>
        <w:t xml:space="preserve">“So three executive questions, three answers:</w:t>
      </w:r>
    </w:p>
    <w:p>
      <w:pPr>
        <w:pStyle w:val="BlockText"/>
      </w:pPr>
      <w:r>
        <w:rPr>
          <w:b/>
          <w:bCs/>
        </w:rPr>
        <w:t xml:space="preserve">One — which customers are at risk and why.</w:t>
      </w:r>
      <w:r>
        <w:t xml:space="preserve"> </w:t>
      </w:r>
      <w:r>
        <w:t xml:space="preserve">We just saw Amelia, fully explained, in seconds, with five drivers and traceable evidence.</w:t>
      </w:r>
    </w:p>
    <w:p>
      <w:pPr>
        <w:pStyle w:val="BlockText"/>
      </w:pPr>
      <w:r>
        <w:rPr>
          <w:b/>
          <w:bCs/>
        </w:rPr>
        <w:t xml:space="preserve">Two — what’s the best action for each one.</w:t>
      </w:r>
      <w:r>
        <w:t xml:space="preserve"> </w:t>
      </w:r>
      <w:r>
        <w:t xml:space="preserve">Ranked, eligibility-checked, consent-aware, margin-respecting, with the actual SMS, push, and email ready to send.</w:t>
      </w:r>
    </w:p>
    <w:p>
      <w:pPr>
        <w:pStyle w:val="BlockText"/>
      </w:pPr>
      <w:r>
        <w:rPr>
          <w:b/>
          <w:bCs/>
        </w:rPr>
        <w:t xml:space="preserve">Three — can VodafoneThree detect and resolve service issues before they become churn.</w:t>
      </w:r>
      <w:r>
        <w:t xml:space="preserve"> </w:t>
      </w:r>
      <w:r>
        <w:t xml:space="preserve">Yes — Manchester M14 to projected risk reduction in under fifteen minutes, with no customer needing to pick up a phone, and £163,000 of CLV protected on this single incident alone.</w:t>
      </w:r>
    </w:p>
    <w:p>
      <w:pPr>
        <w:pStyle w:val="BlockText"/>
      </w:pPr>
      <w:r>
        <w:t xml:space="preserve">That’s the Customer Intelligence Command Center on Snowflake. Happy to take questions.”</w:t>
      </w:r>
    </w:p>
    <w:p>
      <w:r>
        <w:pict>
          <v:rect style="width:0;height:1.5pt" o:hralign="center" o:hrstd="t" o:hr="t"/>
        </w:pict>
      </w:r>
    </w:p>
    <w:bookmarkEnd w:id="20"/>
    <w:bookmarkStart w:id="21" w:name="presenter-cue-card"/>
    <w:p>
      <w:pPr>
        <w:pStyle w:val="Heading2"/>
      </w:pPr>
      <w:r>
        <w:t xml:space="preserve">Presenter cue card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Stage / Page</w:t>
            </w:r>
          </w:p>
        </w:tc>
        <w:tc>
          <w:tcPr/>
          <w:p>
            <w:pPr>
              <w:pStyle w:val="Compact"/>
            </w:pPr>
            <w:r>
              <w:t xml:space="preserve">Click /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</w:t>
            </w:r>
          </w:p>
        </w:tc>
        <w:tc>
          <w:tcPr/>
          <w:p>
            <w:pPr>
              <w:pStyle w:val="Compact"/>
            </w:pPr>
            <w:r>
              <w:t xml:space="preserve">Landing</w:t>
            </w:r>
          </w:p>
        </w:tc>
        <w:tc>
          <w:tcPr/>
          <w:p>
            <w:pPr>
              <w:pStyle w:val="Compact"/>
            </w:pPr>
            <w:r>
              <w:t xml:space="preserve">Launch Command Center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1:30</w:t>
            </w:r>
          </w:p>
        </w:tc>
        <w:tc>
          <w:tcPr/>
          <w:p>
            <w:pPr>
              <w:pStyle w:val="Compact"/>
            </w:pPr>
            <w:r>
              <w:t xml:space="preserve">Play scenario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5:15</w:t>
            </w:r>
          </w:p>
        </w:tc>
        <w:tc>
          <w:tcPr/>
          <w:p>
            <w:pPr>
              <w:pStyle w:val="Compact"/>
            </w:pPr>
            <w:r>
              <w:t xml:space="preserve">Suppression demo</w:t>
            </w:r>
          </w:p>
        </w:tc>
        <w:tc>
          <w:tcPr/>
          <w:p>
            <w:pPr>
              <w:pStyle w:val="Compact"/>
            </w:pPr>
            <w:r>
              <w:t xml:space="preserve">Click Owen → back to Amelia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6:15</w:t>
            </w:r>
          </w:p>
        </w:tc>
        <w:tc>
          <w:tcPr/>
          <w:p>
            <w:pPr>
              <w:pStyle w:val="Compact"/>
            </w:pPr>
            <w:r>
              <w:t xml:space="preserve">Approvals</w:t>
            </w:r>
          </w:p>
        </w:tc>
        <w:tc>
          <w:tcPr/>
          <w:p>
            <w:pPr>
              <w:pStyle w:val="Compact"/>
            </w:pPr>
            <w:r>
              <w:t xml:space="preserve">Sidebar → Approval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7:15</w:t>
            </w:r>
          </w:p>
        </w:tc>
        <w:tc>
          <w:tcPr/>
          <w:p>
            <w:pPr>
              <w:pStyle w:val="Compact"/>
            </w:pPr>
            <w:r>
              <w:t xml:space="preserve">Self-healing</w:t>
            </w:r>
          </w:p>
        </w:tc>
        <w:tc>
          <w:tcPr/>
          <w:p>
            <w:pPr>
              <w:pStyle w:val="Compact"/>
            </w:pPr>
            <w:r>
              <w:t xml:space="preserve">Sidebar → Network Map → Play 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8:00</w:t>
            </w:r>
          </w:p>
        </w:tc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“What happens if we do nothing?”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8:45</w:t>
            </w:r>
          </w:p>
        </w:tc>
        <w:tc>
          <w:tcPr/>
          <w:p>
            <w:pPr>
              <w:pStyle w:val="Compact"/>
            </w:pPr>
            <w:r>
              <w:t xml:space="preserve">Counterfactual</w:t>
            </w:r>
          </w:p>
        </w:tc>
        <w:tc>
          <w:tcPr/>
          <w:p>
            <w:pPr>
              <w:pStyle w:val="Compact"/>
            </w:pPr>
            <w:r>
              <w:t xml:space="preserve">Sidebar → Executive Insights → toggle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9:00</w:t>
            </w:r>
          </w:p>
        </w:tc>
        <w:tc>
          <w:tcPr/>
          <w:p>
            <w:pPr>
              <w:pStyle w:val="Compact"/>
            </w:pPr>
            <w:r>
              <w:t xml:space="preserve">Briefing</w:t>
            </w:r>
          </w:p>
        </w:tc>
        <w:tc>
          <w:tcPr/>
          <w:p>
            <w:pPr>
              <w:pStyle w:val="Compact"/>
            </w:pPr>
            <w:r>
              <w:t xml:space="preserve">Sidebar → Briefing 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9:15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Sidebar → Snowflake Blueprint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9:30</w:t>
            </w:r>
          </w:p>
        </w:tc>
        <w:tc>
          <w:tcPr/>
          <w:p>
            <w:pPr>
              <w:pStyle w:val="Compact"/>
            </w:pPr>
            <w:r>
              <w:t xml:space="preserve">Lineage</w:t>
            </w:r>
          </w:p>
        </w:tc>
        <w:tc>
          <w:tcPr/>
          <w:p>
            <w:pPr>
              <w:pStyle w:val="Compact"/>
            </w:pPr>
            <w:r>
              <w:t xml:space="preserve">Sidebar → Decision Lineage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9:45</w:t>
            </w:r>
          </w:p>
        </w:tc>
        <w:tc>
          <w:tcPr/>
          <w:p>
            <w:pPr>
              <w:pStyle w:val="Compact"/>
            </w:pPr>
            <w:r>
              <w:t xml:space="preserve">Close</w:t>
            </w:r>
          </w:p>
        </w:tc>
        <w:tc>
          <w:tcPr/>
          <w:p>
            <w:pPr>
              <w:pStyle w:val="Compact"/>
            </w:pPr>
            <w:r>
              <w:t xml:space="preserve">Stay on Lineage or Architecture</w:t>
            </w:r>
          </w:p>
        </w:tc>
      </w:tr>
    </w:tbl>
    <w:bookmarkEnd w:id="21"/>
    <w:bookmarkStart w:id="22" w:name="Xf33850af823c752f469698d240477e7f2dcfe00"/>
    <w:p>
      <w:pPr>
        <w:pStyle w:val="Heading2"/>
      </w:pPr>
      <w:r>
        <w:t xml:space="preserve">Optional 60-second extensions (if Q&amp;A allows)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Compare customers</w:t>
      </w:r>
      <w:r>
        <w:t xml:space="preserve">: Sidebar → At-Risk Customers → tag two customers with</w:t>
      </w:r>
      <w:r>
        <w:t xml:space="preserve"> </w:t>
      </w:r>
      <w:r>
        <w:rPr>
          <w:b/>
          <w:bCs/>
        </w:rPr>
        <w:t xml:space="preserve">+ Compare</w:t>
      </w:r>
      <w:r>
        <w:t xml:space="preserve"> </w:t>
      </w:r>
      <w:r>
        <w:t xml:space="preserve">→ sidebar → Compare Customers → radar + side-by-side table.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uplift</w:t>
      </w:r>
      <w:r>
        <w:t xml:space="preserve">: Sidebar → Treatment Uplift → quadrant chart of persuadables / sure things / lost causes / do-not-disturbs. Selected customer is highlighted.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Scenario swap</w:t>
      </w:r>
      <w:r>
        <w:t xml:space="preserve">: Top of sidebar → switch to</w:t>
      </w:r>
      <w:r>
        <w:t xml:space="preserve"> </w:t>
      </w:r>
      <w:r>
        <w:rPr>
          <w:b/>
          <w:bCs/>
        </w:rPr>
        <w:t xml:space="preserve">Bristol — Bill-shock wave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Birmingham — SMARTY price competition</w:t>
      </w:r>
      <w:r>
        <w:t xml:space="preserve">. Same engine, new story.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Settings</w:t>
      </w:r>
      <w:r>
        <w:t xml:space="preserve">: Sidebar → Settings → keyboard shortcut cheat-sheet, theme, sounds, narrator.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2026-05-08T16:39:39Z</dcterms:created>
  <dcterms:modified xsi:type="dcterms:W3CDTF">2026-05-08T16:39:39Z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