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B4F72"/>
          <w:sz w:val="36"/>
        </w:rPr>
        <w:t>Comparative Analysis: Global Social Targeting &amp; Healthcare Financing Systems</w:t>
      </w:r>
    </w:p>
    <w:p>
      <w:pPr>
        <w:spacing w:after="120" w:line="276" w:lineRule="auto"/>
      </w:pPr>
      <w:r>
        <w:t xml:space="preserve">This document provides a technical and policy research summary analyzing global social protection and means-testing databases in comparison to Kenya's proposed </w:t>
      </w:r>
      <w:r>
        <w:rPr>
          <w:b/>
        </w:rPr>
        <w:t>Adjusted Gross Income (AGI) Model v2.1</w:t>
      </w:r>
      <w:r>
        <w:t xml:space="preserve">. It draws lessons from </w:t>
      </w:r>
      <w:r>
        <w:rPr>
          <w:b/>
        </w:rPr>
        <w:t>Colombia's Sisbén IV</w:t>
      </w:r>
      <w:r>
        <w:t xml:space="preserve">, </w:t>
      </w:r>
      <w:r>
        <w:rPr>
          <w:b/>
        </w:rPr>
        <w:t>Indonesia's DTKS</w:t>
      </w:r>
      <w:r>
        <w:t xml:space="preserve">, and </w:t>
      </w:r>
      <w:r>
        <w:rPr>
          <w:b/>
        </w:rPr>
        <w:t>Rwanda's CBHI (Mutuelle de Santé)</w:t>
      </w:r>
      <w:r>
        <w:t>.</w:t>
      </w:r>
    </w:p>
    <w:p>
      <w:pPr>
        <w:spacing w:after="120" w:line="276" w:lineRule="auto"/>
      </w:pPr>
      <w:r>
        <w:t>---</w:t>
      </w:r>
    </w:p>
    <w:p>
      <w:pPr>
        <w:spacing w:before="240" w:after="120"/>
      </w:pPr>
      <w:r>
        <w:rPr>
          <w:b/>
          <w:color w:val="1B4F72"/>
          <w:sz w:val="28"/>
        </w:rPr>
        <w:t>1. Colombia: Sisbén IV (System for the Selection of Beneficiaries)</w:t>
      </w:r>
    </w:p>
    <w:p>
      <w:pPr>
        <w:spacing w:after="120" w:line="276" w:lineRule="auto"/>
      </w:pPr>
      <w:r>
        <w:t>Sisbén is Colombia’s primary information system used to classify the population based on their living conditions and capacity to generate income, helping social programs target subsidies.</w:t>
      </w:r>
    </w:p>
    <w:p>
      <w:pPr>
        <w:spacing w:before="200" w:after="80"/>
      </w:pPr>
      <w:r>
        <w:rPr>
          <w:b/>
          <w:color w:val="2E4057"/>
          <w:sz w:val="24"/>
        </w:rPr>
        <w:t>Key Innovations of Sisbén IV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Transition from Scores to Categorical Groups:</w:t>
      </w:r>
      <w:r/>
    </w:p>
    <w:p>
      <w:pPr>
        <w:pStyle w:val="ListBullet"/>
        <w:spacing w:after="40"/>
      </w:pPr>
      <w:r>
        <w:t>Previous versions of Sisbén (versions I to III) used a point-based scale from 0 to 100. This created "score manipulation" incentives and arbitrary cutoff points.</w:t>
      </w:r>
    </w:p>
    <w:p>
      <w:pPr>
        <w:pStyle w:val="ListBullet"/>
        <w:spacing w:after="40"/>
      </w:pPr>
      <w:r/>
      <w:r>
        <w:rPr>
          <w:b/>
        </w:rPr>
        <w:t>Sisbén IV</w:t>
      </w:r>
      <w:r>
        <w:t xml:space="preserve"> replaced the numeric score with four categorical groups (A, B, C, D):</w:t>
      </w:r>
    </w:p>
    <w:p>
      <w:pPr>
        <w:pStyle w:val="ListBullet"/>
        <w:spacing w:after="40"/>
      </w:pPr>
      <w:r/>
      <w:r>
        <w:rPr>
          <w:b/>
        </w:rPr>
        <w:t>Group A (A1–A5):</w:t>
      </w:r>
      <w:r>
        <w:t xml:space="preserve"> Extreme poverty (highest subsidy eligibility).</w:t>
      </w:r>
    </w:p>
    <w:p>
      <w:pPr>
        <w:pStyle w:val="ListBullet"/>
        <w:spacing w:after="40"/>
      </w:pPr>
      <w:r/>
      <w:r>
        <w:rPr>
          <w:b/>
        </w:rPr>
        <w:t>Group B (B1–B7):</w:t>
      </w:r>
      <w:r>
        <w:t xml:space="preserve"> Moderate poverty.</w:t>
      </w:r>
    </w:p>
    <w:p>
      <w:pPr>
        <w:pStyle w:val="ListBullet"/>
        <w:spacing w:after="40"/>
      </w:pPr>
      <w:r/>
      <w:r>
        <w:rPr>
          <w:b/>
        </w:rPr>
        <w:t>Group C (C1–C18):</w:t>
      </w:r>
      <w:r>
        <w:t xml:space="preserve"> Vulnerable households.</w:t>
      </w:r>
    </w:p>
    <w:p>
      <w:pPr>
        <w:pStyle w:val="ListBullet"/>
        <w:spacing w:after="40"/>
      </w:pPr>
      <w:r/>
      <w:r>
        <w:rPr>
          <w:b/>
        </w:rPr>
        <w:t>Group D (D1–D21):</w:t>
      </w:r>
      <w:r>
        <w:t xml:space="preserve"> Non-poor, non-vulnerable.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Decentralized Collection with Standardized Processing:</w:t>
      </w:r>
      <w:r/>
    </w:p>
    <w:p>
      <w:pPr>
        <w:pStyle w:val="ListBullet"/>
        <w:spacing w:after="40"/>
      </w:pPr>
      <w:r>
        <w:t>Surveys are administered by municipal authorities using mobile capture devices to prevent manual transcription errors and geographical discrepancies.</w:t>
      </w:r>
    </w:p>
    <w:p>
      <w:pPr>
        <w:pStyle w:val="ListBullet"/>
        <w:spacing w:after="40"/>
      </w:pPr>
      <w:r>
        <w:t>The data is then centralized and processed using standardized national formulas to calculate the final group placement.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Multidimensional Assessment:</w:t>
      </w:r>
      <w:r/>
    </w:p>
    <w:p>
      <w:pPr>
        <w:pStyle w:val="ListBullet"/>
        <w:spacing w:after="40"/>
      </w:pPr>
      <w:r>
        <w:t>Rather than relying solely on visual housing materials, Sisbén IV assesses human capital (education levels), household demographics, regional cost-of-living adjustments, and capacity for income generation.</w:t>
      </w:r>
    </w:p>
    <w:p>
      <w:pPr>
        <w:spacing w:before="200" w:after="80"/>
      </w:pPr>
      <w:r>
        <w:rPr>
          <w:b/>
          <w:color w:val="2E4057"/>
          <w:sz w:val="24"/>
        </w:rPr>
        <w:t>Comparison to Kenya's Current PMT vs. Proposed AGI v2.1</w:t>
      </w:r>
    </w:p>
    <w:p>
      <w:pPr>
        <w:pStyle w:val="ListBullet"/>
        <w:spacing w:after="40"/>
      </w:pPr>
      <w:r/>
      <w:r>
        <w:rPr>
          <w:b/>
        </w:rPr>
        <w:t>Current SHA PMT Flaw:</w:t>
      </w:r>
      <w:r>
        <w:t xml:space="preserve"> Deploys a rigid, static point score that is easily triggered by arbitrary markers (e.g., roof type, owning a radio), leading to massive misclassifications (80% of the poorest households overpredicted).</w:t>
      </w:r>
    </w:p>
    <w:p>
      <w:pPr>
        <w:pStyle w:val="ListBullet"/>
        <w:spacing w:after="40"/>
      </w:pPr>
      <w:r/>
      <w:r>
        <w:rPr>
          <w:b/>
        </w:rPr>
        <w:t>AGI v2.1 Integration:</w:t>
      </w:r>
      <w:r>
        <w:t xml:space="preserve"> Mimics Sisbén IV's grouped approach by standardizing citizens into clear contribution tiers (KSh 300 to KSh 5,000 maximum) and applying </w:t>
      </w:r>
      <w:r>
        <w:rPr>
          <w:b/>
        </w:rPr>
        <w:t>location-weighted multipliers</w:t>
      </w:r>
      <w:r>
        <w:t xml:space="preserve"> (arid/semi-arid county discounts) to adjust for regional income disparities.</w:t>
      </w:r>
    </w:p>
    <w:p>
      <w:pPr>
        <w:spacing w:after="120" w:line="276" w:lineRule="auto"/>
      </w:pPr>
      <w:r>
        <w:t>---</w:t>
      </w:r>
    </w:p>
    <w:p>
      <w:pPr>
        <w:spacing w:before="240" w:after="120"/>
      </w:pPr>
      <w:r>
        <w:rPr>
          <w:b/>
          <w:color w:val="1B4F72"/>
          <w:sz w:val="28"/>
        </w:rPr>
        <w:t>2. Indonesia: DTKS (Data Terpadu Kesejahteraan Sosial)</w:t>
      </w:r>
    </w:p>
    <w:p>
      <w:pPr>
        <w:spacing w:after="120" w:line="276" w:lineRule="auto"/>
      </w:pPr>
      <w:r>
        <w:t>Indonesia's DTKS is the unified national database for social assistance programs, covering over 40% of the country's population.</w:t>
      </w:r>
    </w:p>
    <w:p>
      <w:pPr>
        <w:spacing w:before="200" w:after="80"/>
      </w:pPr>
      <w:r>
        <w:rPr>
          <w:b/>
          <w:color w:val="2E4057"/>
          <w:sz w:val="24"/>
        </w:rPr>
        <w:t>Key Innovations of the DTKS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Administrative Data Integration:</w:t>
      </w:r>
      <w:r/>
    </w:p>
    <w:p>
      <w:pPr>
        <w:pStyle w:val="ListBullet"/>
        <w:spacing w:after="40"/>
      </w:pPr>
      <w:r>
        <w:t>The database is dynamically cross-referenced with the national civil registry system (</w:t>
      </w:r>
      <w:r>
        <w:rPr>
          <w:b/>
        </w:rPr>
        <w:t>NIK — Nomor Induk Kependudukan</w:t>
      </w:r>
      <w:r>
        <w:t>). This link ensures that beneficiaries are real, unique individuals, minimizing identity fraud and "ghost" participants.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The Community Verification Layer (*Musyawarah Desa*):</w:t>
      </w:r>
      <w:r/>
    </w:p>
    <w:p>
      <w:pPr>
        <w:pStyle w:val="ListBullet"/>
        <w:spacing w:after="40"/>
      </w:pPr>
      <w:r>
        <w:t>The DTKS incorporates a social accountability mechanism. Local village councils hold community meetings (*musyawarah desa*) to verify the eligibility list.</w:t>
      </w:r>
    </w:p>
    <w:p>
      <w:pPr>
        <w:pStyle w:val="ListBullet"/>
        <w:spacing w:after="40"/>
      </w:pPr>
      <w:r>
        <w:t>Community members can identify individuals who have climbed out of poverty (reducing inclusion errors) or nominate vulnerable neighbors who were left out (reducing exclusion errors).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SIKS-NG (Social Information System Next Generation):</w:t>
      </w:r>
      <w:r/>
    </w:p>
    <w:p>
      <w:pPr>
        <w:pStyle w:val="ListBullet"/>
        <w:spacing w:after="40"/>
      </w:pPr>
      <w:r>
        <w:t>A digital portal that allows village and district governments to upload, verify, and validate data changes on a monthly basis rather than waiting for multi-year national surveys.</w:t>
      </w:r>
    </w:p>
    <w:p>
      <w:pPr>
        <w:spacing w:before="200" w:after="80"/>
      </w:pPr>
      <w:r>
        <w:rPr>
          <w:b/>
          <w:color w:val="2E4057"/>
          <w:sz w:val="24"/>
        </w:rPr>
        <w:t>Comparison to Kenya's Current PMT vs. Proposed AGI v2.1</w:t>
      </w:r>
    </w:p>
    <w:p>
      <w:pPr>
        <w:pStyle w:val="ListBullet"/>
        <w:spacing w:after="40"/>
      </w:pPr>
      <w:r/>
      <w:r>
        <w:rPr>
          <w:b/>
        </w:rPr>
        <w:t>Current SHA PMT Flaw:</w:t>
      </w:r>
      <w:r>
        <w:t xml:space="preserve"> Completely lacks community verification. Claims and appeals are processed by a centralized, opaque black-box system, leading to arbitrary rejections.</w:t>
      </w:r>
    </w:p>
    <w:p>
      <w:pPr>
        <w:pStyle w:val="ListBullet"/>
        <w:spacing w:after="40"/>
      </w:pPr>
      <w:r/>
      <w:r>
        <w:rPr>
          <w:b/>
        </w:rPr>
        <w:t>AGI v2.1 Integration:</w:t>
      </w:r>
      <w:r>
        <w:t xml:space="preserve"> Replicates the DTKS administrative integration and community fallback by:</w:t>
      </w:r>
    </w:p>
    <w:p>
      <w:pPr>
        <w:pStyle w:val="ListBullet"/>
        <w:spacing w:after="40"/>
      </w:pPr>
      <w:r/>
      <w:r>
        <w:rPr>
          <w:b/>
        </w:rPr>
        <w:t>Triangulating</w:t>
      </w:r>
      <w:r>
        <w:t xml:space="preserve"> self-declared data with KRA (PIN), NTSA (vehicles), and M-Pesa.</w:t>
      </w:r>
    </w:p>
    <w:p>
      <w:pPr>
        <w:pStyle w:val="ListBullet"/>
        <w:spacing w:after="40"/>
      </w:pPr>
      <w:r>
        <w:t xml:space="preserve">Creating a </w:t>
      </w:r>
      <w:r>
        <w:rPr>
          <w:b/>
        </w:rPr>
        <w:t>USSD Appeals pathway (`*147*3#`)</w:t>
      </w:r>
      <w:r>
        <w:t xml:space="preserve"> that routes flagged cases to Community Health Promoters (CHPs) for localized community verification, ensuring human oversight is always available.</w:t>
      </w:r>
    </w:p>
    <w:p>
      <w:pPr>
        <w:spacing w:after="120" w:line="276" w:lineRule="auto"/>
      </w:pPr>
      <w:r>
        <w:t>---</w:t>
      </w:r>
    </w:p>
    <w:p>
      <w:pPr>
        <w:spacing w:before="240" w:after="120"/>
      </w:pPr>
      <w:r>
        <w:rPr>
          <w:b/>
          <w:color w:val="1B4F72"/>
          <w:sz w:val="28"/>
        </w:rPr>
        <w:t>3. Rwanda: CBHI (Community-Based Health Insurance / Mutuelle de Santé)</w:t>
      </w:r>
    </w:p>
    <w:p>
      <w:pPr>
        <w:spacing w:after="120" w:line="276" w:lineRule="auto"/>
      </w:pPr>
      <w:r>
        <w:t>Rwanda’s CBHI is one of the most successful health insurance systems in sub-Saharan Africa, achieving enrollment rates exceeding 90%.</w:t>
      </w:r>
    </w:p>
    <w:p>
      <w:pPr>
        <w:spacing w:before="200" w:after="80"/>
      </w:pPr>
      <w:r>
        <w:rPr>
          <w:b/>
          <w:color w:val="2E4057"/>
          <w:sz w:val="24"/>
        </w:rPr>
        <w:t>Key Innovations of Rwanda's CBHI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Ubudehe-Based Tiered Contributions:</w:t>
      </w:r>
      <w:r/>
    </w:p>
    <w:p>
      <w:pPr>
        <w:pStyle w:val="ListBullet"/>
        <w:spacing w:after="40"/>
      </w:pPr>
      <w:r>
        <w:t>Citizens are placed into socio-economic categories known as *Ubudehe* (Categories 1 to 4):</w:t>
      </w:r>
    </w:p>
    <w:p>
      <w:pPr>
        <w:pStyle w:val="ListBullet"/>
        <w:spacing w:after="40"/>
      </w:pPr>
      <w:r/>
      <w:r>
        <w:rPr>
          <w:b/>
        </w:rPr>
        <w:t>Category 1 (Poorest):</w:t>
      </w:r>
      <w:r>
        <w:t xml:space="preserve"> Premium fully subsidized by the government (approx. 16% of the population).</w:t>
      </w:r>
    </w:p>
    <w:p>
      <w:pPr>
        <w:pStyle w:val="ListBullet"/>
        <w:spacing w:after="40"/>
      </w:pPr>
      <w:r/>
      <w:r>
        <w:rPr>
          <w:b/>
        </w:rPr>
        <w:t>Category 2 &amp; 3:</w:t>
      </w:r>
      <w:r>
        <w:t xml:space="preserve"> Co-payment of RWF 3,000 (~USD 2.30) per family member per year.</w:t>
      </w:r>
    </w:p>
    <w:p>
      <w:pPr>
        <w:pStyle w:val="ListBullet"/>
        <w:spacing w:after="40"/>
      </w:pPr>
      <w:r/>
      <w:r>
        <w:rPr>
          <w:b/>
        </w:rPr>
        <w:t>Category 4 (Wealthiest):</w:t>
      </w:r>
      <w:r>
        <w:t xml:space="preserve"> Premium of RWF 7,000 (~USD 5.40) per family member per year.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High Voluntary Compliance:</w:t>
      </w:r>
      <w:r/>
    </w:p>
    <w:p>
      <w:pPr>
        <w:pStyle w:val="ListBullet"/>
        <w:spacing w:after="40"/>
      </w:pPr>
      <w:r>
        <w:t>Because the premium structure is community-owned and perceived as fair, voluntary compliance is exceptionally high, mitigating the "adverse selection death spiral" common in other voluntary health schemes.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Decentralized Enrollment:</w:t>
      </w:r>
      <w:r/>
    </w:p>
    <w:p>
      <w:pPr>
        <w:pStyle w:val="ListBullet"/>
        <w:spacing w:after="40"/>
      </w:pPr>
      <w:r>
        <w:t>Subscriptions are collected locally through community cooperatives, making payment accessible even to remote rural populations.</w:t>
      </w:r>
    </w:p>
    <w:p>
      <w:pPr>
        <w:spacing w:before="200" w:after="80"/>
      </w:pPr>
      <w:r>
        <w:rPr>
          <w:b/>
          <w:color w:val="2E4057"/>
          <w:sz w:val="24"/>
        </w:rPr>
        <w:t>Comparison to Kenya's Current PMT vs. Proposed AGI v2.1</w:t>
      </w:r>
    </w:p>
    <w:p>
      <w:pPr>
        <w:pStyle w:val="ListBullet"/>
        <w:spacing w:after="40"/>
      </w:pPr>
      <w:r/>
      <w:r>
        <w:rPr>
          <w:b/>
        </w:rPr>
        <w:t>Current SHA PMT Flaw:</w:t>
      </w:r>
      <w:r>
        <w:t xml:space="preserve"> Demands a flat 2.75% contribution rate on *estimated* gross income with a high minimum (KES 300), which acts as a heavy tax on the poor and informal sectors, leading to a compliance collapse (only ~22.7% paying).</w:t>
      </w:r>
    </w:p>
    <w:p>
      <w:pPr>
        <w:pStyle w:val="ListBullet"/>
        <w:spacing w:after="40"/>
      </w:pPr>
      <w:r/>
      <w:r>
        <w:rPr>
          <w:b/>
        </w:rPr>
        <w:t xml:space="preserve">AGI v2.1 Integration: Uses Rwanda's success as the financial benchmark for compliance modeling. By applying 7 logical deductions (such as ASAL land discounts, dependency allowances, and digital debt exclusion), the AGI model recalculates a fair premium that citizens trust. This trust drives compliance to a target of 60%, increasing overall revenue from KSh 90B to a sustainable KSh 58B from the informal sector base alone.</w:t>
      </w:r>
      <w:r>
        <w:t xml:space="preserve"/>
      </w:r>
      <w:r>
        <w:rPr>
          <w:b/>
        </w:rPr>
        <w:t/>
      </w:r>
      <w:r>
        <w:t xml:space="preserve"/>
      </w:r>
      <w:r>
        <w:rPr>
          <w:b/>
        </w:rPr>
        <w:t/>
      </w:r>
      <w:r>
        <w:t xml:space="preserve"/>
      </w:r>
      <w:r>
        <w:rPr>
          <w:b/>
        </w:rPr>
        <w:t/>
      </w:r>
      <w:r>
        <w:t xml:space="preserve"/>
      </w:r>
    </w:p>
    <w:p>
      <w:pPr>
        <w:spacing w:after="120" w:line="276" w:lineRule="auto"/>
      </w:pPr>
      <w:r>
        <w:t>---</w:t>
      </w:r>
    </w:p>
    <w:p>
      <w:pPr>
        <w:spacing w:before="240" w:after="120"/>
      </w:pPr>
      <w:r>
        <w:rPr>
          <w:b/>
          <w:color w:val="1B4F72"/>
          <w:sz w:val="28"/>
        </w:rPr>
        <w:t>4. Synthesis: AGI Model v2.1 Mapping to Global Best Practices</w:t>
      </w:r>
    </w:p>
    <w:p>
      <w:pPr>
        <w:spacing w:after="120" w:line="276" w:lineRule="auto"/>
      </w:pPr>
      <w:r>
        <w:t>The AGI Model v2.1 is designed to synthesize these international best practices into a unified, constitutionally compliant architecture for Kenya:</w:t>
      </w:r>
    </w:p>
    <w:p>
      <w:pPr>
        <w:ind w:left="720"/>
      </w:pPr>
      <w:r>
        <w:t>flowchart TD</w:t>
      </w:r>
    </w:p>
    <w:p>
      <w:pPr>
        <w:ind w:left="720"/>
      </w:pPr>
      <w:r>
        <w:t xml:space="preserve">    subgraph International Best Practices</w:t>
      </w:r>
    </w:p>
    <w:p>
      <w:pPr>
        <w:ind w:left="720"/>
      </w:pPr>
      <w:r>
        <w:t xml:space="preserve">        Sisben[Colombia: Sisbén IV\nCategorical Tiered Groups]</w:t>
      </w:r>
    </w:p>
    <w:p>
      <w:pPr>
        <w:ind w:left="720"/>
      </w:pPr>
      <w:r>
        <w:t xml:space="preserve">        DTKS[Indonesia: DTKS\nMulti-Source Triangulation]</w:t>
      </w:r>
    </w:p>
    <w:p>
      <w:pPr>
        <w:ind w:left="720"/>
      </w:pPr>
      <w:r>
        <w:t xml:space="preserve">        CBHI[Rwanda: CBHI\nFairness-Driven Adherence]</w:t>
      </w:r>
    </w:p>
    <w:p>
      <w:pPr>
        <w:ind w:left="720"/>
      </w:pPr>
      <w:r>
        <w:t xml:space="preserve">    end</w:t>
      </w:r>
    </w:p>
    <w:p>
      <w:pPr>
        <w:ind w:left="720"/>
      </w:pPr>
      <w:r>
        <w:t xml:space="preserve">    </w:t>
      </w:r>
    </w:p>
    <w:p>
      <w:pPr>
        <w:ind w:left="720"/>
      </w:pPr>
      <w:r>
        <w:t xml:space="preserve">    subgraph AGI Model v2.1 Implementation</w:t>
      </w:r>
    </w:p>
    <w:p>
      <w:pPr>
        <w:ind w:left="720"/>
      </w:pPr>
      <w:r>
        <w:t xml:space="preserve">        Tiers[5 Contribution Tiers\nKSh 300 - KSh 5,000]</w:t>
      </w:r>
    </w:p>
    <w:p>
      <w:pPr>
        <w:ind w:left="720"/>
      </w:pPr>
      <w:r>
        <w:t xml:space="preserve">        Tri[KRA + NTSA + Telco\nTriangulation Trinity]</w:t>
      </w:r>
    </w:p>
    <w:p>
      <w:pPr>
        <w:ind w:left="720"/>
      </w:pPr>
      <w:r>
        <w:t xml:space="preserve">        Ded[7 Logical Deductions\nASAL, CHE, Debt, etc.]</w:t>
      </w:r>
    </w:p>
    <w:p>
      <w:pPr>
        <w:ind w:left="720"/>
      </w:pPr>
      <w:r>
        <w:t xml:space="preserve">    end</w:t>
      </w:r>
    </w:p>
    <w:p>
      <w:pPr>
        <w:ind w:left="720"/>
      </w:pPr>
      <w:r>
        <w:t xml:space="preserve">    </w:t>
      </w:r>
    </w:p>
    <w:p>
      <w:pPr>
        <w:ind w:left="720"/>
      </w:pPr>
      <w:r>
        <w:t xml:space="preserve">    Sisben --&gt; Tiers</w:t>
      </w:r>
    </w:p>
    <w:p>
      <w:pPr>
        <w:ind w:left="720"/>
      </w:pPr>
      <w:r>
        <w:t xml:space="preserve">    DTKS --&gt; Tri</w:t>
      </w:r>
    </w:p>
    <w:p>
      <w:pPr>
        <w:ind w:left="720"/>
      </w:pPr>
      <w:r>
        <w:t xml:space="preserve">    CBHI --&gt; Ded</w:t>
      </w:r>
    </w:p>
    <w:p>
      <w:pPr>
        <w:ind w:left="720"/>
      </w:pPr>
      <w:r>
        <w:t xml:space="preserve">    </w:t>
      </w:r>
    </w:p>
    <w:p>
      <w:pPr>
        <w:ind w:left="720"/>
      </w:pPr>
      <w:r>
        <w:t xml:space="preserve">    Tiers &amp; Tri &amp; Ded --&gt; Output[Restored Public Trust\n60% Compliance Rate\nSustainable Healthcare Fund]</w:t>
      </w:r>
    </w:p>
    <w:p>
      <w:pPr>
        <w:spacing w:before="200" w:after="80"/>
      </w:pPr>
      <w:r>
        <w:rPr>
          <w:b/>
          <w:color w:val="2E4057"/>
          <w:sz w:val="24"/>
        </w:rPr>
        <w:t>Actionable Next Steps for Stakeholder Presentations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Cite Rwanda CBHI</w:t>
      </w:r>
      <w:r>
        <w:t xml:space="preserve"> to counter government claims that means-testing requires massive, complex data collection. Rwanda proves that simple, transparent socio-economic tiering works.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Reference Colombia's Sisbén IV</w:t>
      </w:r>
      <w:r>
        <w:t xml:space="preserve"> to justify moving away from a point-based score toward grouped tiers, eliminating marginal errors and vulnerability to corruption.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Detail Indonesia's DTKS</w:t>
      </w:r>
      <w:r>
        <w:t xml:space="preserve"> to prove that dynamic databases linked to national registries (KRA/NTSA) combined with local community fallbacks (CHPs) are the global standard for minimizing algorithmic exclusion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